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EA442">
      <w:pPr>
        <w:pStyle w:val="4"/>
        <w:jc w:val="both"/>
        <w:rPr>
          <w:rFonts w:hint="eastAsia" w:ascii="方正仿宋_GB2312" w:hAnsi="方正仿宋_GB2312" w:eastAsia="黑体" w:cs="方正仿宋_GB2312"/>
          <w:b/>
          <w:bCs/>
          <w:color w:val="auto"/>
          <w:kern w:val="0"/>
          <w:sz w:val="44"/>
          <w:szCs w:val="44"/>
          <w:lang w:val="en-US" w:eastAsia="zh-CN" w:bidi="ar-SA"/>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bookmarkStart w:id="0" w:name="_GoBack"/>
      <w:bookmarkEnd w:id="0"/>
    </w:p>
    <w:p w14:paraId="4AA7B90E">
      <w:pPr>
        <w:pStyle w:val="4"/>
        <w:jc w:val="center"/>
        <w:rPr>
          <w:rFonts w:hint="eastAsia" w:ascii="黑体" w:hAnsi="黑体" w:eastAsia="黑体" w:cs="黑体"/>
          <w:b/>
          <w:bCs/>
          <w:color w:val="auto"/>
          <w:kern w:val="0"/>
          <w:sz w:val="44"/>
          <w:szCs w:val="44"/>
          <w:lang w:val="en-US" w:eastAsia="zh-CN" w:bidi="ar-SA"/>
        </w:rPr>
      </w:pPr>
    </w:p>
    <w:p w14:paraId="19527F4E">
      <w:pPr>
        <w:pStyle w:val="4"/>
        <w:jc w:val="center"/>
        <w:rPr>
          <w:rFonts w:hint="eastAsia" w:ascii="黑体" w:hAnsi="黑体" w:eastAsia="黑体" w:cs="黑体"/>
          <w:b/>
          <w:bCs/>
          <w:color w:val="auto"/>
          <w:kern w:val="0"/>
          <w:sz w:val="44"/>
          <w:szCs w:val="44"/>
          <w:lang w:val="en-US" w:eastAsia="zh-CN" w:bidi="ar-SA"/>
        </w:rPr>
      </w:pPr>
    </w:p>
    <w:p w14:paraId="33E3B537">
      <w:pPr>
        <w:pStyle w:val="4"/>
        <w:jc w:val="center"/>
        <w:rPr>
          <w:rFonts w:hint="eastAsia" w:ascii="黑体" w:hAnsi="黑体" w:eastAsia="黑体" w:cs="黑体"/>
          <w:b/>
          <w:bCs/>
          <w:color w:val="auto"/>
          <w:kern w:val="0"/>
          <w:sz w:val="44"/>
          <w:szCs w:val="44"/>
          <w:lang w:val="en-US" w:eastAsia="zh-CN" w:bidi="ar-SA"/>
        </w:rPr>
      </w:pPr>
    </w:p>
    <w:p w14:paraId="6BEF4800">
      <w:pPr>
        <w:pStyle w:val="4"/>
        <w:jc w:val="center"/>
        <w:rPr>
          <w:rFonts w:hint="eastAsia" w:ascii="黑体" w:hAnsi="黑体" w:eastAsia="黑体" w:cs="黑体"/>
          <w:b/>
          <w:bCs/>
          <w:color w:val="auto"/>
          <w:kern w:val="0"/>
          <w:sz w:val="44"/>
          <w:szCs w:val="44"/>
          <w:lang w:val="en-US" w:eastAsia="zh-CN" w:bidi="ar-SA"/>
        </w:rPr>
      </w:pPr>
    </w:p>
    <w:p w14:paraId="1F9144F6">
      <w:pPr>
        <w:pStyle w:val="4"/>
        <w:jc w:val="center"/>
        <w:rPr>
          <w:rFonts w:hint="eastAsia" w:ascii="黑体" w:hAnsi="黑体" w:eastAsia="黑体" w:cs="黑体"/>
          <w:b/>
          <w:bCs/>
          <w:color w:val="auto"/>
          <w:kern w:val="0"/>
          <w:sz w:val="44"/>
          <w:szCs w:val="44"/>
          <w:lang w:val="en-US" w:eastAsia="zh-CN" w:bidi="ar-SA"/>
        </w:rPr>
      </w:pPr>
    </w:p>
    <w:p w14:paraId="27A5DBF3">
      <w:pPr>
        <w:pStyle w:val="4"/>
        <w:jc w:val="center"/>
        <w:rPr>
          <w:rFonts w:hint="eastAsia" w:ascii="黑体" w:hAnsi="黑体" w:eastAsia="黑体" w:cs="黑体"/>
          <w:b/>
          <w:bCs/>
          <w:color w:val="auto"/>
          <w:kern w:val="0"/>
          <w:sz w:val="44"/>
          <w:szCs w:val="44"/>
          <w:lang w:val="en-US" w:eastAsia="zh-CN" w:bidi="ar-SA"/>
        </w:rPr>
      </w:pPr>
    </w:p>
    <w:p w14:paraId="582F3660">
      <w:pPr>
        <w:pStyle w:val="4"/>
        <w:jc w:val="center"/>
        <w:rPr>
          <w:rFonts w:hint="eastAsia" w:ascii="黑体" w:hAnsi="黑体" w:eastAsia="黑体" w:cs="黑体"/>
          <w:b/>
          <w:bCs/>
          <w:color w:val="auto"/>
          <w:kern w:val="0"/>
          <w:sz w:val="44"/>
          <w:szCs w:val="44"/>
          <w:lang w:val="en-US" w:eastAsia="zh-CN" w:bidi="ar-SA"/>
        </w:rPr>
      </w:pPr>
    </w:p>
    <w:p w14:paraId="44B77067">
      <w:pPr>
        <w:pStyle w:val="4"/>
        <w:spacing w:line="480" w:lineRule="auto"/>
        <w:jc w:val="center"/>
        <w:rPr>
          <w:rFonts w:hint="eastAsia" w:ascii="方正小标宋简体" w:hAnsi="方正小标宋简体" w:eastAsia="方正小标宋简体" w:cs="方正小标宋简体"/>
          <w:b w:val="0"/>
          <w:bCs w:val="0"/>
          <w:color w:val="auto"/>
          <w:lang w:val="en-US"/>
        </w:rPr>
      </w:pPr>
      <w:r>
        <w:rPr>
          <w:rFonts w:hint="eastAsia" w:ascii="方正小标宋简体" w:hAnsi="方正小标宋简体" w:eastAsia="方正小标宋简体" w:cs="方正小标宋简体"/>
          <w:b w:val="0"/>
          <w:bCs w:val="0"/>
          <w:color w:val="auto"/>
          <w:kern w:val="0"/>
          <w:sz w:val="44"/>
          <w:szCs w:val="44"/>
          <w:lang w:val="en-US" w:eastAsia="zh-CN" w:bidi="ar-SA"/>
        </w:rPr>
        <w:t>《电力建设绿色建造监理导则 第2部分：输变电工程》编制说明</w:t>
      </w:r>
    </w:p>
    <w:p w14:paraId="661EB8D2">
      <w:pPr>
        <w:bidi w:val="0"/>
        <w:rPr>
          <w:rFonts w:hint="default"/>
          <w:color w:val="auto"/>
          <w:lang w:val="en-US" w:eastAsia="zh-CN"/>
        </w:rPr>
      </w:pPr>
    </w:p>
    <w:p w14:paraId="2EAD6622">
      <w:pPr>
        <w:bidi w:val="0"/>
        <w:rPr>
          <w:rFonts w:hint="default"/>
          <w:color w:val="auto"/>
          <w:lang w:val="en-US" w:eastAsia="zh-CN"/>
        </w:rPr>
      </w:pPr>
    </w:p>
    <w:p w14:paraId="39D9D8A2">
      <w:pPr>
        <w:bidi w:val="0"/>
        <w:rPr>
          <w:rFonts w:hint="default"/>
          <w:color w:val="auto"/>
          <w:lang w:val="en-US" w:eastAsia="zh-CN"/>
        </w:rPr>
      </w:pPr>
    </w:p>
    <w:p w14:paraId="269E57D7">
      <w:pPr>
        <w:bidi w:val="0"/>
        <w:rPr>
          <w:rFonts w:hint="default"/>
          <w:color w:val="auto"/>
          <w:lang w:val="en-US" w:eastAsia="zh-CN"/>
        </w:rPr>
      </w:pPr>
    </w:p>
    <w:p w14:paraId="73D36FF8">
      <w:pPr>
        <w:bidi w:val="0"/>
        <w:rPr>
          <w:rFonts w:hint="default"/>
          <w:color w:val="auto"/>
          <w:lang w:val="en-US" w:eastAsia="zh-CN"/>
        </w:rPr>
      </w:pPr>
    </w:p>
    <w:p w14:paraId="1E2BF2B4">
      <w:pPr>
        <w:bidi w:val="0"/>
        <w:rPr>
          <w:rFonts w:hint="default"/>
          <w:color w:val="auto"/>
          <w:lang w:val="en-US" w:eastAsia="zh-CN"/>
        </w:rPr>
      </w:pPr>
    </w:p>
    <w:p w14:paraId="65A0FA30">
      <w:pPr>
        <w:rPr>
          <w:rFonts w:hint="default"/>
          <w:color w:val="auto"/>
          <w:lang w:val="en-US" w:eastAsia="zh-CN"/>
        </w:rPr>
      </w:pPr>
      <w:r>
        <w:rPr>
          <w:rFonts w:hint="default"/>
          <w:color w:val="auto"/>
          <w:lang w:val="en-US" w:eastAsia="zh-CN"/>
        </w:rPr>
        <w:br w:type="page"/>
      </w:r>
    </w:p>
    <w:p w14:paraId="77FBEBF5">
      <w:pPr>
        <w:pStyle w:val="2"/>
        <w:bidi w:val="0"/>
        <w:rPr>
          <w:rFonts w:hint="default"/>
          <w:color w:val="auto"/>
          <w:lang w:val="en-US" w:eastAsia="zh-CN"/>
        </w:rPr>
      </w:pPr>
      <w:r>
        <w:rPr>
          <w:rFonts w:hint="eastAsia"/>
          <w:color w:val="auto"/>
          <w:lang w:val="en-US" w:eastAsia="zh-CN"/>
        </w:rPr>
        <w:t>一、工作简况</w:t>
      </w:r>
    </w:p>
    <w:p w14:paraId="0664370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方正楷体_GB2312" w:hAnsi="方正楷体_GB2312" w:eastAsia="方正楷体_GB2312" w:cs="方正楷体_GB2312"/>
          <w:color w:val="auto"/>
          <w:sz w:val="32"/>
          <w:szCs w:val="32"/>
          <w:lang w:val="en-US" w:eastAsia="zh-CN"/>
        </w:rPr>
      </w:pPr>
      <w:r>
        <w:rPr>
          <w:rFonts w:hint="eastAsia" w:ascii="方正楷体_GB2312" w:hAnsi="方正楷体_GB2312" w:eastAsia="方正楷体_GB2312" w:cs="方正楷体_GB2312"/>
          <w:color w:val="auto"/>
          <w:sz w:val="32"/>
          <w:szCs w:val="32"/>
          <w:lang w:val="en-US" w:eastAsia="zh-CN"/>
        </w:rPr>
        <w:t>（一）任务来源</w:t>
      </w:r>
    </w:p>
    <w:p w14:paraId="31E11A71">
      <w:pPr>
        <w:bidi w:val="0"/>
        <w:rPr>
          <w:rFonts w:hint="eastAsia"/>
          <w:color w:val="auto"/>
          <w:lang w:val="en-US" w:eastAsia="zh-CN"/>
        </w:rPr>
      </w:pPr>
      <w:r>
        <w:rPr>
          <w:rFonts w:hint="eastAsia"/>
          <w:color w:val="auto"/>
          <w:lang w:val="en-US" w:eastAsia="zh-CN"/>
        </w:rPr>
        <w:t>根据《关于印发2025年第一批中国电力建设企业协会团体标准制定计划的通知》（中电建协〔2025〕131号）文件安排，对计划编号为“T/CEPCA 2025027”的中国电力建设企业协会（以下简称中电建协）标准项目《电力建设绿色建造监理导则 第2部分：输变电工程》（以下简称本标准）进行编制。</w:t>
      </w:r>
    </w:p>
    <w:p w14:paraId="0F29DF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方正楷体_GB2312" w:hAnsi="方正楷体_GB2312" w:eastAsia="方正楷体_GB2312" w:cs="方正楷体_GB2312"/>
          <w:color w:val="auto"/>
          <w:sz w:val="32"/>
          <w:szCs w:val="32"/>
          <w:lang w:val="en-US" w:eastAsia="zh-CN"/>
        </w:rPr>
      </w:pPr>
      <w:r>
        <w:rPr>
          <w:rFonts w:hint="eastAsia" w:ascii="方正楷体_GB2312" w:hAnsi="方正楷体_GB2312" w:eastAsia="方正楷体_GB2312" w:cs="方正楷体_GB2312"/>
          <w:color w:val="auto"/>
          <w:sz w:val="32"/>
          <w:szCs w:val="32"/>
          <w:lang w:val="en-US" w:eastAsia="zh-CN"/>
        </w:rPr>
        <w:t>（二）制定背景</w:t>
      </w:r>
    </w:p>
    <w:p w14:paraId="3174B41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为贯彻国家“双碳”（碳达峰、碳中和）战略目标，推动电力行业清洁低碳转型，“十四五”规划明确要求2030年前实现碳达峰、2060年前实现碳中和，这对电力基础设施建设提出了绿色低碳的新要求。输变电工程作为电网建设的重要组成，其规划选址、施工建设往往占用大量土地和资源，产生施工扬尘、噪声、废水等环境影响，钢材水泥等材料的生产运输和现场机械作业也带来较高的碳排放。当前我国电网正加快构建新型电力系统。在“双碳”背景下，如何确保这些工程在建设过程中最大限度节约资源、降低排放、减少对环境的扰动，已成为电力基建领域亟待解决的课题。然而现有输变电工程施工管理主要聚焦安全、进度和质量，缺乏系统的绿色建造监理体系支撑，导致节能降耗措施落实不到位、环境保护要求执行不严格、施工碳排放缺乏量化管理。随着国家和行业相继出台绿色施工、绿色建筑建材等标准，开展建立完善的绿色建造监理体系已刻不容缓。只有将绿色低碳要求全面融入输变电工程建设的监理工作中，才能有效应对工程建设对生态环境和资源带来的挑战，助力国家“双碳”目标和电力绿色发展战略的实现。</w:t>
      </w:r>
    </w:p>
    <w:p w14:paraId="689353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本项目的总体目标是制定一套可操作、可执行、可推广的输变电工程绿色建造监理技术导则，为输电线路和变电站工程的绿色建造提供统一指导，推动绿色施工理念落地。一方面，通过研究构建覆盖工程策划、设计、施工、验收全生命周期的绿色监理体系，确保输变电工程从开工筹划到竣工移交各环节都有章可循、有据可依，实现“四节一环保”（节能、节材、节水、节地和环境保护）目标在工程建设中的全面落实。另一方面，制定规范化的绿色建造监理标准和细则，减少人为主观因素对绿色措施执行的影响，确保不同项目间绿色施工标准的一致性和可比性。通过严格的监理管控手段，监督施工单位落实节能设备应用、绿色材料选用、施工扬尘噪声控制、污水废弃物处理、生态保护和碳减排等措施，从源头上防范环境污染，降低能源资源消耗，实现本质安全和环境友好型施工</w:t>
      </w:r>
    </w:p>
    <w:p w14:paraId="22EFF2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方正楷体_GB2312" w:hAnsi="方正楷体_GB2312" w:eastAsia="方正楷体_GB2312" w:cs="方正楷体_GB2312"/>
          <w:color w:val="auto"/>
          <w:sz w:val="32"/>
          <w:szCs w:val="32"/>
          <w:lang w:val="en-US" w:eastAsia="zh-CN"/>
        </w:rPr>
      </w:pPr>
      <w:r>
        <w:rPr>
          <w:rFonts w:hint="eastAsia" w:ascii="方正楷体_GB2312" w:hAnsi="方正楷体_GB2312" w:eastAsia="方正楷体_GB2312" w:cs="方正楷体_GB2312"/>
          <w:color w:val="auto"/>
          <w:sz w:val="32"/>
          <w:szCs w:val="32"/>
          <w:lang w:val="en-US" w:eastAsia="zh-CN"/>
        </w:rPr>
        <w:t>（三）起草过程</w:t>
      </w:r>
    </w:p>
    <w:p w14:paraId="5C97A6B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标准化管理机构为中国电力建设企业协会，主编单位</w:t>
      </w:r>
      <w:r>
        <w:rPr>
          <w:rFonts w:hint="eastAsia" w:cs="方正仿宋_GB2312"/>
          <w:color w:val="auto"/>
          <w:sz w:val="32"/>
          <w:szCs w:val="32"/>
          <w:lang w:val="en-US" w:eastAsia="zh-CN"/>
        </w:rPr>
        <w:t>为</w:t>
      </w:r>
      <w:r>
        <w:rPr>
          <w:rFonts w:hint="eastAsia" w:ascii="方正仿宋_GB2312" w:hAnsi="方正仿宋_GB2312" w:eastAsia="方正仿宋_GB2312" w:cs="方正仿宋_GB2312"/>
          <w:color w:val="auto"/>
          <w:kern w:val="2"/>
          <w:sz w:val="32"/>
          <w:szCs w:val="32"/>
          <w:lang w:val="en-US" w:eastAsia="zh-CN" w:bidi="ar-SA"/>
        </w:rPr>
        <w:t>广州电力工程监理有限公司</w:t>
      </w:r>
      <w:r>
        <w:rPr>
          <w:rFonts w:hint="eastAsia" w:ascii="方正仿宋_GB2312" w:hAnsi="方正仿宋_GB2312" w:eastAsia="方正仿宋_GB2312" w:cs="方正仿宋_GB2312"/>
          <w:color w:val="auto"/>
          <w:sz w:val="32"/>
          <w:szCs w:val="32"/>
          <w:lang w:val="en-US" w:eastAsia="zh-CN"/>
        </w:rPr>
        <w:t>，参编单位</w:t>
      </w:r>
      <w:r>
        <w:rPr>
          <w:rFonts w:hint="eastAsia" w:cs="方正仿宋_GB2312"/>
          <w:color w:val="auto"/>
          <w:sz w:val="32"/>
          <w:szCs w:val="32"/>
          <w:lang w:val="en-US" w:eastAsia="zh-CN"/>
        </w:rPr>
        <w:t>广州电力建设有限公司</w:t>
      </w:r>
      <w:r>
        <w:rPr>
          <w:rFonts w:hint="eastAsia" w:ascii="方正仿宋_GB2312" w:hAnsi="方正仿宋_GB2312" w:eastAsia="方正仿宋_GB2312" w:cs="方正仿宋_GB2312"/>
          <w:color w:val="auto"/>
          <w:sz w:val="32"/>
          <w:szCs w:val="32"/>
          <w:lang w:val="en-US" w:eastAsia="zh-CN"/>
        </w:rPr>
        <w:t>、</w:t>
      </w:r>
      <w:r>
        <w:rPr>
          <w:rFonts w:hint="eastAsia" w:cs="方正仿宋_GB2312"/>
          <w:color w:val="auto"/>
          <w:sz w:val="32"/>
          <w:szCs w:val="32"/>
          <w:lang w:val="en-US" w:eastAsia="zh-CN"/>
        </w:rPr>
        <w:t>广东律诚工程咨询有限公司</w:t>
      </w:r>
      <w:r>
        <w:rPr>
          <w:rFonts w:hint="eastAsia" w:ascii="方正仿宋_GB2312" w:hAnsi="方正仿宋_GB2312" w:eastAsia="方正仿宋_GB2312" w:cs="方正仿宋_GB2312"/>
          <w:color w:val="auto"/>
          <w:sz w:val="32"/>
          <w:szCs w:val="32"/>
          <w:lang w:val="en-US" w:eastAsia="zh-CN"/>
        </w:rPr>
        <w:t>、广东天安项目管理有限公司</w:t>
      </w:r>
      <w:r>
        <w:rPr>
          <w:rFonts w:hint="eastAsia" w:cs="方正仿宋_GB2312"/>
          <w:color w:val="auto"/>
          <w:sz w:val="32"/>
          <w:szCs w:val="32"/>
          <w:lang w:val="en-US" w:eastAsia="zh-CN"/>
        </w:rPr>
        <w:t>、江门明浩电力工程监理有限公司、广州南方电力技术工程有限公司</w:t>
      </w:r>
      <w:r>
        <w:rPr>
          <w:rFonts w:hint="eastAsia" w:cs="方正仿宋_GB2312"/>
          <w:color w:val="auto"/>
          <w:sz w:val="32"/>
          <w:szCs w:val="32"/>
          <w:highlight w:val="none"/>
          <w:lang w:val="en-US" w:eastAsia="zh-CN"/>
        </w:rPr>
        <w:t>、广西正远监理咨询有限公司、山东</w:t>
      </w:r>
      <w:r>
        <w:rPr>
          <w:rFonts w:hint="eastAsia" w:cs="方正仿宋_GB2312"/>
          <w:color w:val="auto"/>
          <w:sz w:val="32"/>
          <w:szCs w:val="32"/>
          <w:lang w:val="en-US" w:eastAsia="zh-CN"/>
        </w:rPr>
        <w:t>诚信工程建设监理有限公司、深圳市威彦达工程监理有限公司、贵州电力建设监理咨询有限责任公司</w:t>
      </w:r>
      <w:r>
        <w:rPr>
          <w:rFonts w:hint="eastAsia" w:ascii="方正仿宋_GB2312" w:hAnsi="方正仿宋_GB2312" w:eastAsia="方正仿宋_GB2312" w:cs="方正仿宋_GB2312"/>
          <w:color w:val="auto"/>
          <w:sz w:val="32"/>
          <w:szCs w:val="32"/>
          <w:lang w:val="en-US" w:eastAsia="zh-CN"/>
        </w:rPr>
        <w:t>共1</w:t>
      </w:r>
      <w:r>
        <w:rPr>
          <w:rFonts w:hint="eastAsia" w:cs="方正仿宋_GB2312"/>
          <w:color w:val="auto"/>
          <w:sz w:val="32"/>
          <w:szCs w:val="32"/>
          <w:lang w:val="en-US" w:eastAsia="zh-CN"/>
        </w:rPr>
        <w:t>0</w:t>
      </w:r>
      <w:r>
        <w:rPr>
          <w:rFonts w:hint="eastAsia" w:ascii="方正仿宋_GB2312" w:hAnsi="方正仿宋_GB2312" w:eastAsia="方正仿宋_GB2312" w:cs="方正仿宋_GB2312"/>
          <w:color w:val="auto"/>
          <w:sz w:val="32"/>
          <w:szCs w:val="32"/>
          <w:lang w:val="en-US" w:eastAsia="zh-CN"/>
        </w:rPr>
        <w:t>家单位联合编制完成。</w:t>
      </w:r>
    </w:p>
    <w:p w14:paraId="7922F12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2025年6月，中电建协标委会对本标准项目予以立项，项目以《关于印发2025年第一批中国电力建设企业协会团体标准制定计划的通知》（中电建协〔2025〕131号）文件向社会发布。</w:t>
      </w:r>
    </w:p>
    <w:p w14:paraId="053CC1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2025年08月19日至20日，在湖南省衡阳县中国电力建设企业协会组织召开了第一次编制工作启动会，学习了有关标准化文件。</w:t>
      </w:r>
    </w:p>
    <w:p w14:paraId="769122A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2025年9月24日至25日，在湖南省长沙市中国电力建设企业协会组织召开了标准初稿讨论会，会议对编制工作计划进行了讨论，对初稿进行充分研讨、征求意见。</w:t>
      </w:r>
    </w:p>
    <w:p w14:paraId="1246AC2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2025年10月，各参编单位结合自身业务领域，开展调研工作，系统梳理国内相关标准、政策文件及工程实践案例，针对</w:t>
      </w:r>
      <w:r>
        <w:rPr>
          <w:rFonts w:hint="eastAsia" w:cs="方正仿宋_GB2312"/>
          <w:color w:val="auto"/>
          <w:sz w:val="32"/>
          <w:szCs w:val="32"/>
          <w:lang w:val="en-US" w:eastAsia="zh-CN"/>
        </w:rPr>
        <w:t>输变电工程绿色建造监理</w:t>
      </w:r>
      <w:r>
        <w:rPr>
          <w:rFonts w:hint="eastAsia" w:ascii="方正仿宋_GB2312" w:hAnsi="方正仿宋_GB2312" w:eastAsia="方正仿宋_GB2312" w:cs="方正仿宋_GB2312"/>
          <w:color w:val="auto"/>
          <w:sz w:val="32"/>
          <w:szCs w:val="32"/>
          <w:lang w:val="en-US" w:eastAsia="zh-CN"/>
        </w:rPr>
        <w:t>特点，</w:t>
      </w:r>
      <w:r>
        <w:rPr>
          <w:rFonts w:hint="eastAsia" w:cs="方正仿宋_GB2312"/>
          <w:color w:val="auto"/>
          <w:sz w:val="32"/>
          <w:szCs w:val="32"/>
          <w:lang w:val="en-US" w:eastAsia="zh-CN"/>
        </w:rPr>
        <w:t>对</w:t>
      </w:r>
      <w:r>
        <w:rPr>
          <w:rFonts w:hint="eastAsia" w:ascii="方正仿宋_GB2312" w:hAnsi="方正仿宋_GB2312" w:eastAsia="方正仿宋_GB2312" w:cs="方正仿宋_GB2312"/>
          <w:color w:val="auto"/>
          <w:sz w:val="32"/>
          <w:szCs w:val="32"/>
          <w:lang w:val="en-US" w:eastAsia="zh-CN"/>
        </w:rPr>
        <w:t>初稿</w:t>
      </w:r>
      <w:r>
        <w:rPr>
          <w:rFonts w:hint="eastAsia" w:cs="方正仿宋_GB2312"/>
          <w:color w:val="auto"/>
          <w:sz w:val="32"/>
          <w:szCs w:val="32"/>
          <w:lang w:val="en-US" w:eastAsia="zh-CN"/>
        </w:rPr>
        <w:t>进行修改</w:t>
      </w:r>
      <w:r>
        <w:rPr>
          <w:rFonts w:hint="eastAsia" w:ascii="方正仿宋_GB2312" w:hAnsi="方正仿宋_GB2312" w:eastAsia="方正仿宋_GB2312" w:cs="方正仿宋_GB2312"/>
          <w:color w:val="auto"/>
          <w:sz w:val="32"/>
          <w:szCs w:val="32"/>
          <w:lang w:val="en-US" w:eastAsia="zh-CN"/>
        </w:rPr>
        <w:t>。</w:t>
      </w:r>
    </w:p>
    <w:p w14:paraId="79E82E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2025年</w:t>
      </w:r>
      <w:r>
        <w:rPr>
          <w:rFonts w:hint="eastAsia" w:cs="方正仿宋_GB2312"/>
          <w:color w:val="auto"/>
          <w:sz w:val="32"/>
          <w:szCs w:val="32"/>
          <w:lang w:val="en-US" w:eastAsia="zh-CN"/>
        </w:rPr>
        <w:t>11</w:t>
      </w:r>
      <w:r>
        <w:rPr>
          <w:rFonts w:hint="eastAsia" w:ascii="方正仿宋_GB2312" w:hAnsi="方正仿宋_GB2312" w:eastAsia="方正仿宋_GB2312" w:cs="方正仿宋_GB2312"/>
          <w:color w:val="auto"/>
          <w:sz w:val="32"/>
          <w:szCs w:val="32"/>
          <w:lang w:val="en-US" w:eastAsia="zh-CN"/>
        </w:rPr>
        <w:t>月</w:t>
      </w:r>
      <w:r>
        <w:rPr>
          <w:rFonts w:hint="eastAsia" w:cs="方正仿宋_GB2312"/>
          <w:color w:val="auto"/>
          <w:sz w:val="32"/>
          <w:szCs w:val="32"/>
          <w:lang w:val="en-US" w:eastAsia="zh-CN"/>
        </w:rPr>
        <w:t>25</w:t>
      </w:r>
      <w:r>
        <w:rPr>
          <w:rFonts w:hint="eastAsia" w:ascii="方正仿宋_GB2312" w:hAnsi="方正仿宋_GB2312" w:eastAsia="方正仿宋_GB2312" w:cs="方正仿宋_GB2312"/>
          <w:color w:val="auto"/>
          <w:sz w:val="32"/>
          <w:szCs w:val="32"/>
          <w:lang w:val="en-US" w:eastAsia="zh-CN"/>
        </w:rPr>
        <w:t>日，线上召开初稿讨论会，</w:t>
      </w:r>
      <w:r>
        <w:rPr>
          <w:rFonts w:hint="eastAsia" w:cs="方正仿宋_GB2312"/>
          <w:color w:val="auto"/>
          <w:sz w:val="32"/>
          <w:szCs w:val="32"/>
          <w:lang w:val="en-US" w:eastAsia="zh-CN"/>
        </w:rPr>
        <w:t>协会专家及</w:t>
      </w:r>
      <w:r>
        <w:rPr>
          <w:rFonts w:hint="eastAsia" w:ascii="方正仿宋_GB2312" w:hAnsi="方正仿宋_GB2312" w:eastAsia="方正仿宋_GB2312" w:cs="方正仿宋_GB2312"/>
          <w:color w:val="auto"/>
          <w:sz w:val="32"/>
          <w:szCs w:val="32"/>
          <w:lang w:val="en-US" w:eastAsia="zh-CN"/>
        </w:rPr>
        <w:t>各参编单位对标准编制大纲、核心内容及技术要求进行深入研讨，提出修改意见，形成标准修改稿。</w:t>
      </w:r>
    </w:p>
    <w:p w14:paraId="6844ABE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202</w:t>
      </w:r>
      <w:r>
        <w:rPr>
          <w:rFonts w:hint="eastAsia" w:cs="方正仿宋_GB2312"/>
          <w:color w:val="auto"/>
          <w:sz w:val="32"/>
          <w:szCs w:val="32"/>
          <w:lang w:val="en-US" w:eastAsia="zh-CN"/>
        </w:rPr>
        <w:t>6</w:t>
      </w:r>
      <w:r>
        <w:rPr>
          <w:rFonts w:hint="eastAsia" w:ascii="方正仿宋_GB2312" w:hAnsi="方正仿宋_GB2312" w:eastAsia="方正仿宋_GB2312" w:cs="方正仿宋_GB2312"/>
          <w:color w:val="auto"/>
          <w:sz w:val="32"/>
          <w:szCs w:val="32"/>
          <w:lang w:val="en-US" w:eastAsia="zh-CN"/>
        </w:rPr>
        <w:t>年</w:t>
      </w:r>
      <w:r>
        <w:rPr>
          <w:rFonts w:hint="eastAsia" w:cs="方正仿宋_GB2312"/>
          <w:color w:val="auto"/>
          <w:sz w:val="32"/>
          <w:szCs w:val="32"/>
          <w:lang w:val="en-US" w:eastAsia="zh-CN"/>
        </w:rPr>
        <w:t>3</w:t>
      </w:r>
      <w:r>
        <w:rPr>
          <w:rFonts w:hint="eastAsia" w:ascii="方正仿宋_GB2312" w:hAnsi="方正仿宋_GB2312" w:eastAsia="方正仿宋_GB2312" w:cs="方正仿宋_GB2312"/>
          <w:color w:val="auto"/>
          <w:sz w:val="32"/>
          <w:szCs w:val="32"/>
          <w:lang w:val="en-US" w:eastAsia="zh-CN"/>
        </w:rPr>
        <w:t>月</w:t>
      </w:r>
      <w:r>
        <w:rPr>
          <w:rFonts w:hint="eastAsia" w:cs="方正仿宋_GB2312"/>
          <w:color w:val="auto"/>
          <w:sz w:val="32"/>
          <w:szCs w:val="32"/>
          <w:lang w:val="en-US" w:eastAsia="zh-CN"/>
        </w:rPr>
        <w:t>27</w:t>
      </w:r>
      <w:r>
        <w:rPr>
          <w:rFonts w:hint="eastAsia" w:ascii="方正仿宋_GB2312" w:hAnsi="方正仿宋_GB2312" w:eastAsia="方正仿宋_GB2312" w:cs="方正仿宋_GB2312"/>
          <w:color w:val="auto"/>
          <w:sz w:val="32"/>
          <w:szCs w:val="32"/>
          <w:lang w:val="en-US" w:eastAsia="zh-CN"/>
        </w:rPr>
        <w:t>日，</w:t>
      </w:r>
      <w:r>
        <w:rPr>
          <w:rFonts w:hint="eastAsia" w:cs="方正仿宋_GB2312"/>
          <w:color w:val="auto"/>
          <w:sz w:val="32"/>
          <w:szCs w:val="32"/>
          <w:lang w:val="en-US" w:eastAsia="zh-CN"/>
        </w:rPr>
        <w:t>线上</w:t>
      </w:r>
      <w:r>
        <w:rPr>
          <w:rFonts w:hint="eastAsia" w:ascii="方正仿宋_GB2312" w:hAnsi="方正仿宋_GB2312" w:eastAsia="方正仿宋_GB2312" w:cs="方正仿宋_GB2312"/>
          <w:color w:val="auto"/>
          <w:sz w:val="32"/>
          <w:szCs w:val="32"/>
          <w:lang w:val="en-US" w:eastAsia="zh-CN"/>
        </w:rPr>
        <w:t>召开标准征求意见稿</w:t>
      </w:r>
      <w:r>
        <w:rPr>
          <w:rFonts w:hint="eastAsia" w:cs="方正仿宋_GB2312"/>
          <w:color w:val="auto"/>
          <w:sz w:val="32"/>
          <w:szCs w:val="32"/>
          <w:lang w:val="en-US" w:eastAsia="zh-CN"/>
        </w:rPr>
        <w:t>定稿</w:t>
      </w:r>
      <w:r>
        <w:rPr>
          <w:rFonts w:hint="eastAsia" w:ascii="方正仿宋_GB2312" w:hAnsi="方正仿宋_GB2312" w:eastAsia="方正仿宋_GB2312" w:cs="方正仿宋_GB2312"/>
          <w:color w:val="auto"/>
          <w:sz w:val="32"/>
          <w:szCs w:val="32"/>
          <w:lang w:val="en-US" w:eastAsia="zh-CN"/>
        </w:rPr>
        <w:t>会，</w:t>
      </w:r>
      <w:r>
        <w:rPr>
          <w:rFonts w:hint="eastAsia" w:cs="方正仿宋_GB2312"/>
          <w:color w:val="auto"/>
          <w:sz w:val="32"/>
          <w:szCs w:val="32"/>
          <w:lang w:val="en-US" w:eastAsia="zh-CN"/>
        </w:rPr>
        <w:t>各</w:t>
      </w:r>
      <w:r>
        <w:rPr>
          <w:rFonts w:hint="eastAsia" w:ascii="方正仿宋_GB2312" w:hAnsi="方正仿宋_GB2312" w:eastAsia="方正仿宋_GB2312" w:cs="方正仿宋_GB2312"/>
          <w:color w:val="auto"/>
          <w:sz w:val="32"/>
          <w:szCs w:val="32"/>
          <w:lang w:val="en-US" w:eastAsia="zh-CN"/>
        </w:rPr>
        <w:t>参编单位代表参会，对标准征求意见稿进行全面审查，会后根据专家意见完成修改，形成征求意见稿。</w:t>
      </w:r>
    </w:p>
    <w:p w14:paraId="65640EEC">
      <w:pPr>
        <w:pStyle w:val="2"/>
        <w:bidi w:val="0"/>
        <w:rPr>
          <w:rFonts w:hint="default"/>
          <w:color w:val="auto"/>
          <w:lang w:val="en-US" w:eastAsia="zh-CN"/>
        </w:rPr>
      </w:pPr>
      <w:r>
        <w:rPr>
          <w:rFonts w:hint="eastAsia"/>
          <w:color w:val="auto"/>
          <w:lang w:val="en-US" w:eastAsia="zh-CN"/>
        </w:rPr>
        <w:t>二、标准编制原则、主要内容及其确定依据</w:t>
      </w:r>
    </w:p>
    <w:p w14:paraId="67F714F7">
      <w:pPr>
        <w:pStyle w:val="3"/>
        <w:bidi w:val="0"/>
        <w:rPr>
          <w:rFonts w:hint="eastAsia"/>
          <w:color w:val="auto"/>
          <w:lang w:val="en-US" w:eastAsia="zh-CN"/>
        </w:rPr>
      </w:pPr>
      <w:r>
        <w:rPr>
          <w:rFonts w:hint="eastAsia"/>
          <w:color w:val="auto"/>
          <w:lang w:val="en-US" w:eastAsia="zh-CN"/>
        </w:rPr>
        <w:t>（一）标准编制原则</w:t>
      </w:r>
    </w:p>
    <w:p w14:paraId="5DF3EA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1.符合相关规定要求。本标准编制严格遵守《中国电力建设企业协会标准管理办法（试行）》，编写格式执行GB/T 1.1-2020《标准化工作导则 第1部分：标准化文件的结构和起草规则》。</w:t>
      </w:r>
    </w:p>
    <w:p w14:paraId="035B10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2.注重与国家法律法规和相关标准的协调性，与《建筑工程绿色施工规范》GB/T 50905、《电力建设工程绿色建造评价》T/CEPCA 1010等相关现行标准协调配套，避免重复与矛盾，确保标准发布实施的可操作性。</w:t>
      </w:r>
    </w:p>
    <w:p w14:paraId="629A05B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3.充分借鉴国内</w:t>
      </w:r>
      <w:r>
        <w:rPr>
          <w:rFonts w:hint="eastAsia" w:cs="方正仿宋_GB2312"/>
          <w:color w:val="auto"/>
          <w:sz w:val="32"/>
          <w:szCs w:val="32"/>
          <w:lang w:val="en-US" w:eastAsia="zh-CN"/>
        </w:rPr>
        <w:t>各电压等级输变电工程的</w:t>
      </w:r>
      <w:r>
        <w:rPr>
          <w:rFonts w:hint="eastAsia" w:ascii="方正仿宋_GB2312" w:hAnsi="方正仿宋_GB2312" w:eastAsia="方正仿宋_GB2312" w:cs="方正仿宋_GB2312"/>
          <w:color w:val="auto"/>
          <w:sz w:val="32"/>
          <w:szCs w:val="32"/>
          <w:lang w:val="en-US" w:eastAsia="zh-CN"/>
        </w:rPr>
        <w:t>先进技术成果、工程实践经验和行业发展趋势，结合</w:t>
      </w:r>
      <w:r>
        <w:rPr>
          <w:rFonts w:hint="eastAsia" w:cs="方正仿宋_GB2312"/>
          <w:color w:val="auto"/>
          <w:sz w:val="32"/>
          <w:szCs w:val="32"/>
          <w:lang w:val="en-US" w:eastAsia="zh-CN"/>
        </w:rPr>
        <w:t>输变电工程</w:t>
      </w:r>
      <w:r>
        <w:rPr>
          <w:rFonts w:hint="eastAsia" w:ascii="方正仿宋_GB2312" w:hAnsi="方正仿宋_GB2312" w:eastAsia="方正仿宋_GB2312" w:cs="方正仿宋_GB2312"/>
          <w:color w:val="auto"/>
          <w:sz w:val="32"/>
          <w:szCs w:val="32"/>
          <w:lang w:val="en-US" w:eastAsia="zh-CN"/>
        </w:rPr>
        <w:t>建设背景下新技术、新工艺、新材料、新设备、新流程等要求，规范内容适度超前，体现技术进步方向，为行业技术升级和质量提升提供指导。</w:t>
      </w:r>
    </w:p>
    <w:p w14:paraId="06C0D51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color w:val="auto"/>
        </w:rPr>
      </w:pPr>
      <w:r>
        <w:rPr>
          <w:rFonts w:hint="eastAsia" w:ascii="方正仿宋_GB2312" w:hAnsi="方正仿宋_GB2312" w:eastAsia="方正仿宋_GB2312" w:cs="方正仿宋_GB2312"/>
          <w:color w:val="auto"/>
          <w:kern w:val="2"/>
          <w:sz w:val="32"/>
          <w:szCs w:val="32"/>
          <w:lang w:val="en-US" w:eastAsia="zh-CN" w:bidi="ar-SA"/>
        </w:rPr>
        <w:t>4.紧密围绕输变电工程绿色建造的特殊性（如工程周期长、地理环境多样、</w:t>
      </w:r>
      <w:r>
        <w:rPr>
          <w:rFonts w:hint="eastAsia" w:cs="方正仿宋_GB2312"/>
          <w:color w:val="auto"/>
          <w:kern w:val="2"/>
          <w:sz w:val="32"/>
          <w:szCs w:val="32"/>
          <w:lang w:val="en-US" w:eastAsia="zh-CN" w:bidi="ar-SA"/>
        </w:rPr>
        <w:t>城市景观协调性</w:t>
      </w:r>
      <w:r>
        <w:rPr>
          <w:rFonts w:hint="eastAsia" w:ascii="方正仿宋_GB2312" w:hAnsi="方正仿宋_GB2312" w:eastAsia="方正仿宋_GB2312" w:cs="方正仿宋_GB2312"/>
          <w:color w:val="auto"/>
          <w:kern w:val="2"/>
          <w:sz w:val="32"/>
          <w:szCs w:val="32"/>
          <w:lang w:val="en-US" w:eastAsia="zh-CN" w:bidi="ar-SA"/>
        </w:rPr>
        <w:t>要求高等），针对绿色材料选用、节能施工工艺、生态环境保护、碳排放量控制等关键环节，细化监理工作流程、检查验收标准，</w:t>
      </w:r>
      <w:r>
        <w:rPr>
          <w:rFonts w:hint="eastAsia" w:cs="方正仿宋_GB2312"/>
          <w:color w:val="auto"/>
          <w:kern w:val="2"/>
          <w:sz w:val="32"/>
          <w:szCs w:val="32"/>
          <w:lang w:val="en-US" w:eastAsia="zh-CN" w:bidi="ar-SA"/>
        </w:rPr>
        <w:t>令</w:t>
      </w:r>
      <w:r>
        <w:rPr>
          <w:rFonts w:hint="eastAsia" w:ascii="方正仿宋_GB2312" w:hAnsi="方正仿宋_GB2312" w:eastAsia="方正仿宋_GB2312" w:cs="方正仿宋_GB2312"/>
          <w:color w:val="auto"/>
          <w:kern w:val="2"/>
          <w:sz w:val="32"/>
          <w:szCs w:val="32"/>
          <w:lang w:val="en-US" w:eastAsia="zh-CN" w:bidi="ar-SA"/>
        </w:rPr>
        <w:t>导则内容具体、明确，具有可操作性和现场指导性。</w:t>
      </w:r>
    </w:p>
    <w:p w14:paraId="0F4A31D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5.民主协同编制。充分发扬民主，广泛征求行业建设单位、</w:t>
      </w:r>
      <w:r>
        <w:rPr>
          <w:rFonts w:hint="eastAsia" w:cs="方正仿宋_GB2312"/>
          <w:color w:val="auto"/>
          <w:sz w:val="32"/>
          <w:szCs w:val="32"/>
          <w:lang w:val="en-US" w:eastAsia="zh-CN"/>
        </w:rPr>
        <w:t>设计单位、监理单位、</w:t>
      </w:r>
      <w:r>
        <w:rPr>
          <w:rFonts w:hint="eastAsia" w:ascii="方正仿宋_GB2312" w:hAnsi="方正仿宋_GB2312" w:eastAsia="方正仿宋_GB2312" w:cs="方正仿宋_GB2312"/>
          <w:color w:val="auto"/>
          <w:sz w:val="32"/>
          <w:szCs w:val="32"/>
          <w:lang w:val="en-US" w:eastAsia="zh-CN"/>
        </w:rPr>
        <w:t>施工单位、运维单位等多方意见，协调各参编单位达成共识，确保标准内容全面、公正、权威。</w:t>
      </w:r>
    </w:p>
    <w:p w14:paraId="31D5E130">
      <w:pPr>
        <w:pStyle w:val="3"/>
        <w:bidi w:val="0"/>
        <w:rPr>
          <w:rFonts w:hint="eastAsia"/>
          <w:color w:val="auto"/>
          <w:lang w:val="en-US" w:eastAsia="zh-CN"/>
        </w:rPr>
      </w:pPr>
      <w:r>
        <w:rPr>
          <w:rFonts w:hint="eastAsia"/>
          <w:color w:val="auto"/>
          <w:lang w:val="en-US" w:eastAsia="zh-CN"/>
        </w:rPr>
        <w:t>（二）标准主要内容</w:t>
      </w:r>
    </w:p>
    <w:p w14:paraId="5D6BB68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本标准主要内容共</w:t>
      </w:r>
      <w:r>
        <w:rPr>
          <w:rFonts w:hint="eastAsia" w:cs="方正仿宋_GB2312"/>
          <w:color w:val="auto"/>
          <w:sz w:val="32"/>
          <w:szCs w:val="32"/>
          <w:lang w:val="en-US" w:eastAsia="zh-CN"/>
        </w:rPr>
        <w:t>10</w:t>
      </w:r>
      <w:r>
        <w:rPr>
          <w:rFonts w:hint="eastAsia" w:ascii="方正仿宋_GB2312" w:hAnsi="方正仿宋_GB2312" w:eastAsia="方正仿宋_GB2312" w:cs="方正仿宋_GB2312"/>
          <w:color w:val="auto"/>
          <w:sz w:val="32"/>
          <w:szCs w:val="32"/>
          <w:lang w:val="en-US" w:eastAsia="zh-CN"/>
        </w:rPr>
        <w:t>章，分别是范围（第1章）、规范性引用文件（第2章）、术语和定义（第3章）、</w:t>
      </w:r>
      <w:r>
        <w:rPr>
          <w:rFonts w:hint="eastAsia" w:cs="方正仿宋_GB2312"/>
          <w:color w:val="auto"/>
          <w:sz w:val="32"/>
          <w:szCs w:val="32"/>
          <w:lang w:val="en-US" w:eastAsia="zh-CN"/>
        </w:rPr>
        <w:t>总体要求</w:t>
      </w:r>
      <w:r>
        <w:rPr>
          <w:rFonts w:hint="eastAsia" w:ascii="方正仿宋_GB2312" w:hAnsi="方正仿宋_GB2312" w:eastAsia="方正仿宋_GB2312" w:cs="方正仿宋_GB2312"/>
          <w:color w:val="auto"/>
          <w:sz w:val="32"/>
          <w:szCs w:val="32"/>
          <w:lang w:val="en-US" w:eastAsia="zh-CN"/>
        </w:rPr>
        <w:t>（第4章）、</w:t>
      </w:r>
      <w:r>
        <w:rPr>
          <w:rFonts w:hint="eastAsia" w:cs="方正仿宋_GB2312"/>
          <w:color w:val="auto"/>
          <w:sz w:val="32"/>
          <w:szCs w:val="32"/>
          <w:lang w:val="en-US" w:eastAsia="zh-CN"/>
        </w:rPr>
        <w:t>绿色建造监理职责</w:t>
      </w:r>
      <w:r>
        <w:rPr>
          <w:rFonts w:hint="eastAsia" w:ascii="方正仿宋_GB2312" w:hAnsi="方正仿宋_GB2312" w:eastAsia="方正仿宋_GB2312" w:cs="方正仿宋_GB2312"/>
          <w:color w:val="auto"/>
          <w:sz w:val="32"/>
          <w:szCs w:val="32"/>
          <w:lang w:val="en-US" w:eastAsia="zh-CN"/>
        </w:rPr>
        <w:t>（第5章）、绿色策划监理措施（第6章）</w:t>
      </w:r>
      <w:r>
        <w:rPr>
          <w:rFonts w:hint="eastAsia"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lang w:val="en-US" w:eastAsia="zh-CN"/>
        </w:rPr>
        <w:t>绿色设计监理措施（</w:t>
      </w:r>
      <w:r>
        <w:rPr>
          <w:rFonts w:hint="eastAsia" w:cs="方正仿宋_GB2312"/>
          <w:color w:val="auto"/>
          <w:sz w:val="32"/>
          <w:szCs w:val="32"/>
          <w:lang w:val="en-US" w:eastAsia="zh-CN"/>
        </w:rPr>
        <w:t>第</w:t>
      </w:r>
      <w:r>
        <w:rPr>
          <w:rFonts w:hint="eastAsia" w:ascii="方正仿宋_GB2312" w:hAnsi="方正仿宋_GB2312" w:eastAsia="方正仿宋_GB2312" w:cs="方正仿宋_GB2312"/>
          <w:color w:val="auto"/>
          <w:sz w:val="32"/>
          <w:szCs w:val="32"/>
          <w:lang w:val="en-US" w:eastAsia="zh-CN"/>
        </w:rPr>
        <w:t>7章）</w:t>
      </w:r>
      <w:r>
        <w:rPr>
          <w:rFonts w:hint="eastAsia" w:cs="方正仿宋_GB2312"/>
          <w:color w:val="auto"/>
          <w:sz w:val="32"/>
          <w:szCs w:val="32"/>
          <w:lang w:val="en-US" w:eastAsia="zh-CN"/>
        </w:rPr>
        <w:t>、绿色施工监理措施</w:t>
      </w:r>
      <w:r>
        <w:rPr>
          <w:rFonts w:hint="eastAsia" w:ascii="方正仿宋_GB2312" w:hAnsi="方正仿宋_GB2312" w:eastAsia="方正仿宋_GB2312" w:cs="方正仿宋_GB2312"/>
          <w:color w:val="auto"/>
          <w:sz w:val="32"/>
          <w:szCs w:val="32"/>
          <w:lang w:val="en-US" w:eastAsia="zh-CN"/>
        </w:rPr>
        <w:t>（</w:t>
      </w:r>
      <w:r>
        <w:rPr>
          <w:rFonts w:hint="eastAsia" w:cs="方正仿宋_GB2312"/>
          <w:color w:val="auto"/>
          <w:sz w:val="32"/>
          <w:szCs w:val="32"/>
          <w:lang w:val="en-US" w:eastAsia="zh-CN"/>
        </w:rPr>
        <w:t>第8</w:t>
      </w:r>
      <w:r>
        <w:rPr>
          <w:rFonts w:hint="eastAsia" w:ascii="方正仿宋_GB2312" w:hAnsi="方正仿宋_GB2312" w:eastAsia="方正仿宋_GB2312" w:cs="方正仿宋_GB2312"/>
          <w:color w:val="auto"/>
          <w:sz w:val="32"/>
          <w:szCs w:val="32"/>
          <w:lang w:val="en-US" w:eastAsia="zh-CN"/>
        </w:rPr>
        <w:t>章）</w:t>
      </w:r>
      <w:r>
        <w:rPr>
          <w:rFonts w:hint="eastAsia" w:cs="方正仿宋_GB2312"/>
          <w:color w:val="auto"/>
          <w:sz w:val="32"/>
          <w:szCs w:val="32"/>
          <w:lang w:val="en-US" w:eastAsia="zh-CN"/>
        </w:rPr>
        <w:t>、绿色移交监理措施（第9章）和绿色建造文件管理（第10章）</w:t>
      </w:r>
      <w:r>
        <w:rPr>
          <w:rFonts w:hint="eastAsia" w:ascii="方正仿宋_GB2312" w:hAnsi="方正仿宋_GB2312" w:eastAsia="方正仿宋_GB2312" w:cs="方正仿宋_GB2312"/>
          <w:color w:val="auto"/>
          <w:sz w:val="32"/>
          <w:szCs w:val="32"/>
          <w:lang w:val="en-US" w:eastAsia="zh-CN"/>
        </w:rPr>
        <w:t>。各章节核心内容如下：</w:t>
      </w:r>
    </w:p>
    <w:p w14:paraId="6B9C3A7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1.范围（第1章）：明确本标准规定了输变电工程绿色建造监理的</w:t>
      </w:r>
      <w:r>
        <w:rPr>
          <w:rFonts w:hint="eastAsia" w:cs="方正仿宋_GB2312"/>
          <w:color w:val="auto"/>
          <w:sz w:val="32"/>
          <w:szCs w:val="32"/>
          <w:lang w:val="en-US" w:eastAsia="zh-CN"/>
        </w:rPr>
        <w:t>监理职责</w:t>
      </w:r>
      <w:r>
        <w:rPr>
          <w:rFonts w:hint="eastAsia" w:ascii="方正仿宋_GB2312" w:hAnsi="方正仿宋_GB2312" w:eastAsia="方正仿宋_GB2312" w:cs="方正仿宋_GB2312"/>
          <w:color w:val="auto"/>
          <w:sz w:val="32"/>
          <w:szCs w:val="32"/>
          <w:lang w:val="en-US" w:eastAsia="zh-CN"/>
        </w:rPr>
        <w:t>及</w:t>
      </w:r>
      <w:r>
        <w:rPr>
          <w:rFonts w:hint="eastAsia" w:cs="方正仿宋_GB2312"/>
          <w:color w:val="auto"/>
          <w:sz w:val="32"/>
          <w:szCs w:val="32"/>
          <w:lang w:val="en-US" w:eastAsia="zh-CN"/>
        </w:rPr>
        <w:t>监理措施</w:t>
      </w:r>
      <w:r>
        <w:rPr>
          <w:rFonts w:hint="eastAsia" w:ascii="方正仿宋_GB2312" w:hAnsi="方正仿宋_GB2312" w:eastAsia="方正仿宋_GB2312" w:cs="方正仿宋_GB2312"/>
          <w:color w:val="auto"/>
          <w:sz w:val="32"/>
          <w:szCs w:val="32"/>
          <w:lang w:val="en-US" w:eastAsia="zh-CN"/>
        </w:rPr>
        <w:t>，适用于输变电工程绿色建造监理工作开展。</w:t>
      </w:r>
    </w:p>
    <w:p w14:paraId="7B6A088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2.规范性引用文件（第2章）：列出本标准规范性引用的国家标准、行业标准及团体标准，包括T/CEPCA 1010《电力建设工程绿色建造评价》等。</w:t>
      </w:r>
    </w:p>
    <w:p w14:paraId="0D6EB18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3.术语和定义（第3章）：界定了绿色建造监理核心术语的定义，统一标准适用范围内的术语表述。</w:t>
      </w:r>
    </w:p>
    <w:p w14:paraId="4DBE320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4.</w:t>
      </w:r>
      <w:r>
        <w:rPr>
          <w:rFonts w:hint="eastAsia" w:cs="方正仿宋_GB2312"/>
          <w:color w:val="auto"/>
          <w:sz w:val="32"/>
          <w:szCs w:val="32"/>
          <w:lang w:val="en-US" w:eastAsia="zh-CN"/>
        </w:rPr>
        <w:t>总体要求</w:t>
      </w:r>
      <w:r>
        <w:rPr>
          <w:rFonts w:hint="eastAsia" w:ascii="方正仿宋_GB2312" w:hAnsi="方正仿宋_GB2312" w:eastAsia="方正仿宋_GB2312" w:cs="方正仿宋_GB2312"/>
          <w:color w:val="auto"/>
          <w:sz w:val="32"/>
          <w:szCs w:val="32"/>
          <w:lang w:val="en-US" w:eastAsia="zh-CN"/>
        </w:rPr>
        <w:t>（第4章）：明确输变电工程绿色建造监理</w:t>
      </w:r>
      <w:r>
        <w:rPr>
          <w:rFonts w:hint="eastAsia" w:cs="方正仿宋_GB2312"/>
          <w:color w:val="auto"/>
          <w:sz w:val="32"/>
          <w:szCs w:val="32"/>
          <w:lang w:val="en-US" w:eastAsia="zh-CN"/>
        </w:rPr>
        <w:t>的</w:t>
      </w:r>
      <w:r>
        <w:rPr>
          <w:rFonts w:hint="eastAsia" w:ascii="方正仿宋_GB2312" w:hAnsi="方正仿宋_GB2312" w:eastAsia="方正仿宋_GB2312" w:cs="方正仿宋_GB2312"/>
          <w:color w:val="auto"/>
          <w:sz w:val="32"/>
          <w:szCs w:val="32"/>
          <w:lang w:val="en-US" w:eastAsia="zh-CN"/>
        </w:rPr>
        <w:t>总体要求，包括</w:t>
      </w:r>
      <w:r>
        <w:rPr>
          <w:rFonts w:hint="eastAsia" w:cs="方正仿宋_GB2312"/>
          <w:color w:val="auto"/>
          <w:sz w:val="32"/>
          <w:szCs w:val="32"/>
          <w:lang w:val="en-US" w:eastAsia="zh-CN"/>
        </w:rPr>
        <w:t>工作原则</w:t>
      </w:r>
      <w:r>
        <w:rPr>
          <w:rFonts w:hint="eastAsia" w:ascii="方正仿宋_GB2312" w:hAnsi="方正仿宋_GB2312" w:eastAsia="方正仿宋_GB2312" w:cs="方正仿宋_GB2312"/>
          <w:color w:val="auto"/>
          <w:sz w:val="32"/>
          <w:szCs w:val="32"/>
          <w:lang w:val="en-US" w:eastAsia="zh-CN"/>
        </w:rPr>
        <w:t>、</w:t>
      </w:r>
      <w:r>
        <w:rPr>
          <w:rFonts w:hint="eastAsia" w:cs="方正仿宋_GB2312"/>
          <w:color w:val="auto"/>
          <w:sz w:val="32"/>
          <w:szCs w:val="32"/>
          <w:lang w:val="en-US" w:eastAsia="zh-CN"/>
        </w:rPr>
        <w:t>依据文件</w:t>
      </w:r>
      <w:r>
        <w:rPr>
          <w:rFonts w:hint="eastAsia" w:ascii="方正仿宋_GB2312" w:hAnsi="方正仿宋_GB2312" w:eastAsia="方正仿宋_GB2312" w:cs="方正仿宋_GB2312"/>
          <w:color w:val="auto"/>
          <w:sz w:val="32"/>
          <w:szCs w:val="32"/>
          <w:lang w:val="en-US" w:eastAsia="zh-CN"/>
        </w:rPr>
        <w:t>、</w:t>
      </w:r>
      <w:r>
        <w:rPr>
          <w:rFonts w:hint="eastAsia" w:cs="方正仿宋_GB2312"/>
          <w:color w:val="auto"/>
          <w:sz w:val="32"/>
          <w:szCs w:val="32"/>
          <w:lang w:val="en-US" w:eastAsia="zh-CN"/>
        </w:rPr>
        <w:t>各阶段工作概述</w:t>
      </w:r>
      <w:r>
        <w:rPr>
          <w:rFonts w:hint="eastAsia" w:ascii="方正仿宋_GB2312" w:hAnsi="方正仿宋_GB2312" w:eastAsia="方正仿宋_GB2312" w:cs="方正仿宋_GB2312"/>
          <w:color w:val="auto"/>
          <w:sz w:val="32"/>
          <w:szCs w:val="32"/>
          <w:lang w:val="en-US" w:eastAsia="zh-CN"/>
        </w:rPr>
        <w:t>等。</w:t>
      </w:r>
    </w:p>
    <w:p w14:paraId="5431E9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5.</w:t>
      </w:r>
      <w:r>
        <w:rPr>
          <w:rFonts w:hint="eastAsia" w:cs="方正仿宋_GB2312"/>
          <w:color w:val="auto"/>
          <w:sz w:val="32"/>
          <w:szCs w:val="32"/>
          <w:lang w:val="en-US" w:eastAsia="zh-CN"/>
        </w:rPr>
        <w:t>绿色建造监理职责</w:t>
      </w:r>
      <w:r>
        <w:rPr>
          <w:rFonts w:hint="eastAsia" w:ascii="方正仿宋_GB2312" w:hAnsi="方正仿宋_GB2312" w:eastAsia="方正仿宋_GB2312" w:cs="方正仿宋_GB2312"/>
          <w:color w:val="auto"/>
          <w:sz w:val="32"/>
          <w:szCs w:val="32"/>
          <w:lang w:val="en-US" w:eastAsia="zh-CN"/>
        </w:rPr>
        <w:t>（第5章）：分为</w:t>
      </w:r>
      <w:r>
        <w:rPr>
          <w:rFonts w:hint="eastAsia" w:cs="方正仿宋_GB2312"/>
          <w:color w:val="auto"/>
          <w:sz w:val="32"/>
          <w:szCs w:val="32"/>
          <w:lang w:val="en-US" w:eastAsia="zh-CN"/>
        </w:rPr>
        <w:t>总监理工程师职责、专业监理工程师职责和监理员职责</w:t>
      </w:r>
      <w:r>
        <w:rPr>
          <w:rFonts w:hint="eastAsia" w:ascii="方正仿宋_GB2312" w:hAnsi="方正仿宋_GB2312" w:eastAsia="方正仿宋_GB2312" w:cs="方正仿宋_GB2312"/>
          <w:color w:val="auto"/>
          <w:sz w:val="32"/>
          <w:szCs w:val="32"/>
          <w:lang w:val="en-US" w:eastAsia="zh-CN"/>
        </w:rPr>
        <w:t>。</w:t>
      </w:r>
      <w:r>
        <w:rPr>
          <w:rFonts w:hint="eastAsia" w:cs="方正仿宋_GB2312"/>
          <w:color w:val="auto"/>
          <w:sz w:val="32"/>
          <w:szCs w:val="32"/>
          <w:lang w:val="en-US" w:eastAsia="zh-CN"/>
        </w:rPr>
        <w:t>对项目监理机构中各级监理人员的文件审查、数据记录、现场见证等工作进行了叙述。</w:t>
      </w:r>
    </w:p>
    <w:p w14:paraId="081ADC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6.绿色策划监理措施（第6章）：</w:t>
      </w:r>
      <w:r>
        <w:rPr>
          <w:rFonts w:hint="eastAsia" w:cs="方正仿宋_GB2312"/>
          <w:color w:val="auto"/>
          <w:sz w:val="32"/>
          <w:szCs w:val="32"/>
          <w:lang w:val="en-US" w:eastAsia="zh-CN"/>
        </w:rPr>
        <w:t>明确了绿色建造策划阶段项目监理机构应执行的措施</w:t>
      </w:r>
      <w:r>
        <w:rPr>
          <w:rFonts w:hint="eastAsia" w:ascii="方正仿宋_GB2312" w:hAnsi="方正仿宋_GB2312" w:eastAsia="方正仿宋_GB2312" w:cs="方正仿宋_GB2312"/>
          <w:color w:val="auto"/>
          <w:sz w:val="32"/>
          <w:szCs w:val="32"/>
          <w:lang w:val="en-US" w:eastAsia="zh-CN"/>
        </w:rPr>
        <w:t>。</w:t>
      </w:r>
      <w:r>
        <w:rPr>
          <w:rFonts w:hint="eastAsia" w:cs="方正仿宋_GB2312"/>
          <w:color w:val="auto"/>
          <w:sz w:val="32"/>
          <w:szCs w:val="32"/>
          <w:lang w:val="en-US" w:eastAsia="zh-CN"/>
        </w:rPr>
        <w:t>包括监理策划的编制要点，对施工策划及设计策划的审查重点，以及对移交阶段的策划。</w:t>
      </w:r>
    </w:p>
    <w:p w14:paraId="07E865C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7.绿色设计监理措施（</w:t>
      </w:r>
      <w:r>
        <w:rPr>
          <w:rFonts w:hint="eastAsia" w:cs="方正仿宋_GB2312"/>
          <w:color w:val="auto"/>
          <w:sz w:val="32"/>
          <w:szCs w:val="32"/>
          <w:lang w:val="en-US" w:eastAsia="zh-CN"/>
        </w:rPr>
        <w:t>第</w:t>
      </w:r>
      <w:r>
        <w:rPr>
          <w:rFonts w:hint="eastAsia" w:ascii="方正仿宋_GB2312" w:hAnsi="方正仿宋_GB2312" w:eastAsia="方正仿宋_GB2312" w:cs="方正仿宋_GB2312"/>
          <w:color w:val="auto"/>
          <w:sz w:val="32"/>
          <w:szCs w:val="32"/>
          <w:lang w:val="en-US" w:eastAsia="zh-CN"/>
        </w:rPr>
        <w:t>7章）</w:t>
      </w:r>
      <w:r>
        <w:rPr>
          <w:rFonts w:hint="eastAsia" w:cs="方正仿宋_GB2312"/>
          <w:color w:val="auto"/>
          <w:sz w:val="32"/>
          <w:szCs w:val="32"/>
          <w:lang w:val="en-US" w:eastAsia="zh-CN"/>
        </w:rPr>
        <w:t>：明确了项目监理机构在设计阶段的审查要点</w:t>
      </w:r>
      <w:r>
        <w:rPr>
          <w:rFonts w:hint="eastAsia" w:ascii="方正仿宋_GB2312" w:hAnsi="方正仿宋_GB2312" w:eastAsia="方正仿宋_GB2312" w:cs="方正仿宋_GB2312"/>
          <w:color w:val="auto"/>
          <w:sz w:val="32"/>
          <w:szCs w:val="32"/>
          <w:lang w:val="en-US" w:eastAsia="zh-CN"/>
        </w:rPr>
        <w:t>。</w:t>
      </w:r>
      <w:r>
        <w:rPr>
          <w:rFonts w:hint="eastAsia" w:cs="方正仿宋_GB2312"/>
          <w:color w:val="auto"/>
          <w:sz w:val="32"/>
          <w:szCs w:val="32"/>
          <w:lang w:val="en-US" w:eastAsia="zh-CN"/>
        </w:rPr>
        <w:t>包括绿色设计中的新技术应用情况，节能、节材、节水、节地以及环境保护在绿色设计中的审查要点。</w:t>
      </w:r>
    </w:p>
    <w:p w14:paraId="748703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8.绿色施工监理措施</w:t>
      </w:r>
      <w:r>
        <w:rPr>
          <w:rFonts w:hint="eastAsia" w:ascii="方正仿宋_GB2312" w:hAnsi="方正仿宋_GB2312" w:eastAsia="方正仿宋_GB2312" w:cs="方正仿宋_GB2312"/>
          <w:color w:val="auto"/>
          <w:sz w:val="32"/>
          <w:szCs w:val="32"/>
          <w:lang w:val="en-US" w:eastAsia="zh-CN"/>
        </w:rPr>
        <w:t>（</w:t>
      </w:r>
      <w:r>
        <w:rPr>
          <w:rFonts w:hint="eastAsia" w:cs="方正仿宋_GB2312"/>
          <w:color w:val="auto"/>
          <w:sz w:val="32"/>
          <w:szCs w:val="32"/>
          <w:lang w:val="en-US" w:eastAsia="zh-CN"/>
        </w:rPr>
        <w:t>第8</w:t>
      </w:r>
      <w:r>
        <w:rPr>
          <w:rFonts w:hint="eastAsia" w:ascii="方正仿宋_GB2312" w:hAnsi="方正仿宋_GB2312" w:eastAsia="方正仿宋_GB2312" w:cs="方正仿宋_GB2312"/>
          <w:color w:val="auto"/>
          <w:sz w:val="32"/>
          <w:szCs w:val="32"/>
          <w:lang w:val="en-US" w:eastAsia="zh-CN"/>
        </w:rPr>
        <w:t>章）</w:t>
      </w:r>
      <w:r>
        <w:rPr>
          <w:rFonts w:hint="eastAsia" w:cs="方正仿宋_GB2312"/>
          <w:color w:val="auto"/>
          <w:sz w:val="32"/>
          <w:szCs w:val="32"/>
          <w:lang w:val="en-US" w:eastAsia="zh-CN"/>
        </w:rPr>
        <w:t>：明确了绿色建造施工阶段的监理措施。包括对绿色施工的一般要求，对安全环保的一般和专用管控措施，以及对施工过程中的资源节约和技术创新部分提出了管控要求。</w:t>
      </w:r>
    </w:p>
    <w:p w14:paraId="40E141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9.绿色移交监理措施（第9章）：明确了绿色施工移交阶段的监理措施。包括预验收阶段的工作、综合效能的复核，数字化移交的标准、范围及监理工作，对绿色建造效果的评估。</w:t>
      </w:r>
    </w:p>
    <w:p w14:paraId="4142DB8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10.绿色建造文件管理（第10章）：列出了绿色建造文件的管理要求，管理范围包括项目监理机构自身产出的资料以及参建单位的资料，对绿色建造中各方文件资料的主要内容。</w:t>
      </w:r>
    </w:p>
    <w:p w14:paraId="610F63EB">
      <w:pPr>
        <w:pStyle w:val="3"/>
        <w:bidi w:val="0"/>
        <w:rPr>
          <w:rFonts w:hint="eastAsia"/>
          <w:color w:val="auto"/>
          <w:lang w:val="en-US" w:eastAsia="zh-CN"/>
        </w:rPr>
      </w:pPr>
      <w:r>
        <w:rPr>
          <w:rFonts w:hint="eastAsia"/>
          <w:color w:val="auto"/>
          <w:lang w:val="en-US" w:eastAsia="zh-CN"/>
        </w:rPr>
        <w:t>（三）标准主要内容确定依据</w:t>
      </w:r>
    </w:p>
    <w:p w14:paraId="5566F48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本标准参照现行国家有关电力建设的法律、法规、管理标准、技术标准、电力行业有关标准和相关行业标准。主要有：</w:t>
      </w:r>
    </w:p>
    <w:p w14:paraId="185047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s="方正仿宋_GB2312"/>
          <w:color w:val="auto"/>
          <w:sz w:val="32"/>
          <w:szCs w:val="32"/>
          <w:lang w:val="en-US" w:eastAsia="zh-CN"/>
        </w:rPr>
      </w:pPr>
      <w:r>
        <w:rPr>
          <w:rFonts w:hint="eastAsia" w:cs="方正仿宋_GB2312"/>
          <w:color w:val="auto"/>
          <w:sz w:val="32"/>
          <w:szCs w:val="32"/>
          <w:lang w:val="en-US" w:eastAsia="zh-CN"/>
        </w:rPr>
        <w:t>1.《危险化学品安全管理条例》（国务院第344号令）</w:t>
      </w:r>
    </w:p>
    <w:p w14:paraId="548C9E3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2.《</w:t>
      </w:r>
      <w:r>
        <w:rPr>
          <w:rFonts w:hint="eastAsia" w:ascii="方正仿宋_GB2312" w:hAnsi="方正仿宋_GB2312" w:eastAsia="方正仿宋_GB2312" w:cs="方正仿宋_GB2312"/>
          <w:color w:val="auto"/>
          <w:sz w:val="32"/>
          <w:szCs w:val="32"/>
          <w:lang w:val="en-US" w:eastAsia="zh-CN"/>
        </w:rPr>
        <w:t>污水综合排放标准</w:t>
      </w:r>
      <w:r>
        <w:rPr>
          <w:rFonts w:hint="eastAsia"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lang w:val="en-US" w:eastAsia="zh-CN"/>
        </w:rPr>
        <w:t>GB 8978</w:t>
      </w:r>
      <w:r>
        <w:rPr>
          <w:rFonts w:hint="eastAsia" w:cs="方正仿宋_GB2312"/>
          <w:color w:val="auto"/>
          <w:sz w:val="32"/>
          <w:szCs w:val="32"/>
          <w:lang w:val="en-US" w:eastAsia="zh-CN"/>
        </w:rPr>
        <w:t>）</w:t>
      </w:r>
    </w:p>
    <w:p w14:paraId="188CAC7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3.《</w:t>
      </w:r>
      <w:r>
        <w:rPr>
          <w:rFonts w:hint="eastAsia" w:ascii="方正仿宋_GB2312" w:hAnsi="方正仿宋_GB2312" w:eastAsia="方正仿宋_GB2312" w:cs="方正仿宋_GB2312"/>
          <w:color w:val="auto"/>
          <w:sz w:val="32"/>
          <w:szCs w:val="32"/>
          <w:lang w:val="en-US" w:eastAsia="zh-CN"/>
        </w:rPr>
        <w:t>建筑施工噪声排放标准</w:t>
      </w:r>
      <w:r>
        <w:rPr>
          <w:rFonts w:hint="eastAsia"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lang w:val="en-US" w:eastAsia="zh-CN"/>
        </w:rPr>
        <w:t>GB 12523</w:t>
      </w:r>
      <w:r>
        <w:rPr>
          <w:rFonts w:hint="eastAsia" w:cs="方正仿宋_GB2312"/>
          <w:color w:val="auto"/>
          <w:sz w:val="32"/>
          <w:szCs w:val="32"/>
          <w:lang w:val="en-US" w:eastAsia="zh-CN"/>
        </w:rPr>
        <w:t>）</w:t>
      </w:r>
    </w:p>
    <w:p w14:paraId="54E2C05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4.《</w:t>
      </w:r>
      <w:r>
        <w:rPr>
          <w:rFonts w:hint="eastAsia" w:ascii="方正仿宋_GB2312" w:hAnsi="方正仿宋_GB2312" w:eastAsia="方正仿宋_GB2312" w:cs="方正仿宋_GB2312"/>
          <w:color w:val="auto"/>
          <w:sz w:val="32"/>
          <w:szCs w:val="32"/>
          <w:lang w:val="en-US" w:eastAsia="zh-CN"/>
        </w:rPr>
        <w:t>大气污染物综合排放标准</w:t>
      </w:r>
      <w:r>
        <w:rPr>
          <w:rFonts w:hint="eastAsia"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lang w:val="en-US" w:eastAsia="zh-CN"/>
        </w:rPr>
        <w:t>GB 16297</w:t>
      </w:r>
      <w:r>
        <w:rPr>
          <w:rFonts w:hint="eastAsia" w:cs="方正仿宋_GB2312"/>
          <w:color w:val="auto"/>
          <w:sz w:val="32"/>
          <w:szCs w:val="32"/>
          <w:lang w:val="en-US" w:eastAsia="zh-CN"/>
        </w:rPr>
        <w:t>）</w:t>
      </w:r>
    </w:p>
    <w:p w14:paraId="2050C1D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5.《</w:t>
      </w:r>
      <w:r>
        <w:rPr>
          <w:rFonts w:hint="eastAsia" w:ascii="方正仿宋_GB2312" w:hAnsi="方正仿宋_GB2312" w:eastAsia="方正仿宋_GB2312" w:cs="方正仿宋_GB2312"/>
          <w:color w:val="auto"/>
          <w:sz w:val="32"/>
          <w:szCs w:val="32"/>
          <w:lang w:val="en-US" w:eastAsia="zh-CN"/>
        </w:rPr>
        <w:t>危险废物贮存污染控制标准</w:t>
      </w:r>
      <w:r>
        <w:rPr>
          <w:rFonts w:hint="eastAsia"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lang w:val="en-US" w:eastAsia="zh-CN"/>
        </w:rPr>
        <w:t>GB 18597</w:t>
      </w:r>
      <w:r>
        <w:rPr>
          <w:rFonts w:hint="eastAsia" w:cs="方正仿宋_GB2312"/>
          <w:color w:val="auto"/>
          <w:sz w:val="32"/>
          <w:szCs w:val="32"/>
          <w:lang w:val="en-US" w:eastAsia="zh-CN"/>
        </w:rPr>
        <w:t>）</w:t>
      </w:r>
    </w:p>
    <w:p w14:paraId="520597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6.《</w:t>
      </w:r>
      <w:r>
        <w:rPr>
          <w:rFonts w:hint="eastAsia" w:ascii="方正仿宋_GB2312" w:hAnsi="方正仿宋_GB2312" w:eastAsia="方正仿宋_GB2312" w:cs="方正仿宋_GB2312"/>
          <w:color w:val="auto"/>
          <w:sz w:val="32"/>
          <w:szCs w:val="32"/>
          <w:lang w:val="en-US" w:eastAsia="zh-CN"/>
        </w:rPr>
        <w:t>一般工业固体废物贮存和填埋污染控制标准</w:t>
      </w:r>
      <w:r>
        <w:rPr>
          <w:rFonts w:hint="eastAsia"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lang w:val="en-US" w:eastAsia="zh-CN"/>
        </w:rPr>
        <w:t>GB 18599</w:t>
      </w:r>
      <w:r>
        <w:rPr>
          <w:rFonts w:hint="eastAsia" w:cs="方正仿宋_GB2312"/>
          <w:color w:val="auto"/>
          <w:sz w:val="32"/>
          <w:szCs w:val="32"/>
          <w:lang w:val="en-US" w:eastAsia="zh-CN"/>
        </w:rPr>
        <w:t>）</w:t>
      </w:r>
    </w:p>
    <w:p w14:paraId="710D72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7.《</w:t>
      </w:r>
      <w:r>
        <w:rPr>
          <w:rFonts w:hint="eastAsia" w:ascii="方正仿宋_GB2312" w:hAnsi="方正仿宋_GB2312" w:eastAsia="方正仿宋_GB2312" w:cs="方正仿宋_GB2312"/>
          <w:color w:val="auto"/>
          <w:sz w:val="32"/>
          <w:szCs w:val="32"/>
          <w:lang w:val="en-US" w:eastAsia="zh-CN"/>
        </w:rPr>
        <w:t>固体废物鉴别标准通则</w:t>
      </w:r>
      <w:r>
        <w:rPr>
          <w:rFonts w:hint="eastAsia"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lang w:val="en-US" w:eastAsia="zh-CN"/>
        </w:rPr>
        <w:t>GB 34330</w:t>
      </w:r>
      <w:r>
        <w:rPr>
          <w:rFonts w:hint="eastAsia" w:cs="方正仿宋_GB2312"/>
          <w:color w:val="auto"/>
          <w:sz w:val="32"/>
          <w:szCs w:val="32"/>
          <w:lang w:val="en-US" w:eastAsia="zh-CN"/>
        </w:rPr>
        <w:t>）</w:t>
      </w:r>
    </w:p>
    <w:p w14:paraId="49912B2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8.《</w:t>
      </w:r>
      <w:r>
        <w:rPr>
          <w:rFonts w:hint="eastAsia" w:ascii="方正仿宋_GB2312" w:hAnsi="方正仿宋_GB2312" w:eastAsia="方正仿宋_GB2312" w:cs="方正仿宋_GB2312"/>
          <w:color w:val="auto"/>
          <w:sz w:val="32"/>
          <w:szCs w:val="32"/>
          <w:lang w:val="en-US" w:eastAsia="zh-CN"/>
        </w:rPr>
        <w:t>海洋工程环境影响评价技术导则</w:t>
      </w:r>
      <w:r>
        <w:rPr>
          <w:rFonts w:hint="eastAsia"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lang w:val="en-US" w:eastAsia="zh-CN"/>
        </w:rPr>
        <w:t>GB/T 19485</w:t>
      </w:r>
      <w:r>
        <w:rPr>
          <w:rFonts w:hint="eastAsia" w:cs="方正仿宋_GB2312"/>
          <w:color w:val="auto"/>
          <w:sz w:val="32"/>
          <w:szCs w:val="32"/>
          <w:lang w:val="en-US" w:eastAsia="zh-CN"/>
        </w:rPr>
        <w:t>）</w:t>
      </w:r>
    </w:p>
    <w:p w14:paraId="2D725A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9.《</w:t>
      </w:r>
      <w:r>
        <w:rPr>
          <w:rFonts w:hint="eastAsia" w:ascii="方正仿宋_GB2312" w:hAnsi="方正仿宋_GB2312" w:eastAsia="方正仿宋_GB2312" w:cs="方正仿宋_GB2312"/>
          <w:color w:val="auto"/>
          <w:sz w:val="32"/>
          <w:szCs w:val="32"/>
          <w:lang w:val="en-US" w:eastAsia="zh-CN"/>
        </w:rPr>
        <w:t>绿色建筑评价标准</w:t>
      </w:r>
      <w:r>
        <w:rPr>
          <w:rFonts w:hint="eastAsia"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lang w:val="en-US" w:eastAsia="zh-CN"/>
        </w:rPr>
        <w:t>GB/T 50378</w:t>
      </w:r>
      <w:r>
        <w:rPr>
          <w:rFonts w:hint="eastAsia" w:cs="方正仿宋_GB2312"/>
          <w:color w:val="auto"/>
          <w:sz w:val="32"/>
          <w:szCs w:val="32"/>
          <w:lang w:val="en-US" w:eastAsia="zh-CN"/>
        </w:rPr>
        <w:t>）</w:t>
      </w:r>
    </w:p>
    <w:p w14:paraId="4AA8F2A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10.《</w:t>
      </w:r>
      <w:r>
        <w:rPr>
          <w:rFonts w:hint="eastAsia" w:ascii="方正仿宋_GB2312" w:hAnsi="方正仿宋_GB2312" w:eastAsia="方正仿宋_GB2312" w:cs="方正仿宋_GB2312"/>
          <w:color w:val="auto"/>
          <w:sz w:val="32"/>
          <w:szCs w:val="32"/>
          <w:lang w:val="en-US" w:eastAsia="zh-CN"/>
        </w:rPr>
        <w:t>建筑与市政工程绿色施工评价标准</w:t>
      </w:r>
      <w:r>
        <w:rPr>
          <w:rFonts w:hint="eastAsia"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lang w:val="en-US" w:eastAsia="zh-CN"/>
        </w:rPr>
        <w:t>GB/T 50640</w:t>
      </w:r>
      <w:r>
        <w:rPr>
          <w:rFonts w:hint="eastAsia" w:cs="方正仿宋_GB2312"/>
          <w:color w:val="auto"/>
          <w:sz w:val="32"/>
          <w:szCs w:val="32"/>
          <w:lang w:val="en-US" w:eastAsia="zh-CN"/>
        </w:rPr>
        <w:t>）</w:t>
      </w:r>
    </w:p>
    <w:p w14:paraId="6B04E43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11.《</w:t>
      </w:r>
      <w:r>
        <w:rPr>
          <w:rFonts w:hint="eastAsia" w:ascii="方正仿宋_GB2312" w:hAnsi="方正仿宋_GB2312" w:eastAsia="方正仿宋_GB2312" w:cs="方正仿宋_GB2312"/>
          <w:color w:val="auto"/>
          <w:sz w:val="32"/>
          <w:szCs w:val="32"/>
          <w:lang w:val="en-US" w:eastAsia="zh-CN"/>
        </w:rPr>
        <w:t>建筑工程绿色施工规范</w:t>
      </w:r>
      <w:r>
        <w:rPr>
          <w:rFonts w:hint="eastAsia"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lang w:val="en-US" w:eastAsia="zh-CN"/>
        </w:rPr>
        <w:t>GB/T 50905</w:t>
      </w:r>
      <w:r>
        <w:rPr>
          <w:rFonts w:hint="eastAsia" w:cs="方正仿宋_GB2312"/>
          <w:color w:val="auto"/>
          <w:sz w:val="32"/>
          <w:szCs w:val="32"/>
          <w:lang w:val="en-US" w:eastAsia="zh-CN"/>
        </w:rPr>
        <w:t>）</w:t>
      </w:r>
    </w:p>
    <w:p w14:paraId="0F4FD0D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12.《</w:t>
      </w:r>
      <w:r>
        <w:rPr>
          <w:rFonts w:hint="eastAsia" w:ascii="方正仿宋_GB2312" w:hAnsi="方正仿宋_GB2312" w:eastAsia="方正仿宋_GB2312" w:cs="方正仿宋_GB2312"/>
          <w:color w:val="auto"/>
          <w:sz w:val="32"/>
          <w:szCs w:val="32"/>
          <w:lang w:val="en-US" w:eastAsia="zh-CN"/>
        </w:rPr>
        <w:t>环境影响评价技术导则</w:t>
      </w:r>
      <w:r>
        <w:rPr>
          <w:rFonts w:hint="eastAsia" w:cs="方正仿宋_GB2312"/>
          <w:color w:val="auto"/>
          <w:sz w:val="32"/>
          <w:szCs w:val="32"/>
          <w:lang w:val="en-US" w:eastAsia="zh-CN"/>
        </w:rPr>
        <w:t xml:space="preserve"> </w:t>
      </w:r>
      <w:r>
        <w:rPr>
          <w:rFonts w:hint="eastAsia" w:ascii="方正仿宋_GB2312" w:hAnsi="方正仿宋_GB2312" w:eastAsia="方正仿宋_GB2312" w:cs="方正仿宋_GB2312"/>
          <w:color w:val="auto"/>
          <w:sz w:val="32"/>
          <w:szCs w:val="32"/>
          <w:lang w:val="en-US" w:eastAsia="zh-CN"/>
        </w:rPr>
        <w:t>生态影响</w:t>
      </w:r>
      <w:r>
        <w:rPr>
          <w:rFonts w:hint="eastAsia"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lang w:val="en-US" w:eastAsia="zh-CN"/>
        </w:rPr>
        <w:t>HJ 19</w:t>
      </w:r>
      <w:r>
        <w:rPr>
          <w:rFonts w:hint="eastAsia" w:cs="方正仿宋_GB2312"/>
          <w:color w:val="auto"/>
          <w:sz w:val="32"/>
          <w:szCs w:val="32"/>
          <w:lang w:val="en-US" w:eastAsia="zh-CN"/>
        </w:rPr>
        <w:t>）</w:t>
      </w:r>
    </w:p>
    <w:p w14:paraId="656A74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13.《</w:t>
      </w:r>
      <w:r>
        <w:rPr>
          <w:rFonts w:hint="eastAsia" w:ascii="方正仿宋_GB2312" w:hAnsi="方正仿宋_GB2312" w:eastAsia="方正仿宋_GB2312" w:cs="方正仿宋_GB2312"/>
          <w:color w:val="auto"/>
          <w:sz w:val="32"/>
          <w:szCs w:val="32"/>
          <w:lang w:val="en-US" w:eastAsia="zh-CN"/>
        </w:rPr>
        <w:t>环境影响评价技术导则</w:t>
      </w:r>
      <w:r>
        <w:rPr>
          <w:rFonts w:hint="eastAsia" w:cs="方正仿宋_GB2312"/>
          <w:color w:val="auto"/>
          <w:sz w:val="32"/>
          <w:szCs w:val="32"/>
          <w:lang w:val="en-US" w:eastAsia="zh-CN"/>
        </w:rPr>
        <w:t xml:space="preserve"> </w:t>
      </w:r>
      <w:r>
        <w:rPr>
          <w:rFonts w:hint="eastAsia" w:ascii="方正仿宋_GB2312" w:hAnsi="方正仿宋_GB2312" w:eastAsia="方正仿宋_GB2312" w:cs="方正仿宋_GB2312"/>
          <w:color w:val="auto"/>
          <w:sz w:val="32"/>
          <w:szCs w:val="32"/>
          <w:lang w:val="en-US" w:eastAsia="zh-CN"/>
        </w:rPr>
        <w:t>输变电</w:t>
      </w:r>
      <w:r>
        <w:rPr>
          <w:rFonts w:hint="eastAsia"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lang w:val="en-US" w:eastAsia="zh-CN"/>
        </w:rPr>
        <w:t>HJ 24</w:t>
      </w:r>
      <w:r>
        <w:rPr>
          <w:rFonts w:hint="eastAsia" w:cs="方正仿宋_GB2312"/>
          <w:color w:val="auto"/>
          <w:sz w:val="32"/>
          <w:szCs w:val="32"/>
          <w:lang w:val="en-US" w:eastAsia="zh-CN"/>
        </w:rPr>
        <w:t>）</w:t>
      </w:r>
    </w:p>
    <w:p w14:paraId="5B50A09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14.《</w:t>
      </w:r>
      <w:r>
        <w:rPr>
          <w:rFonts w:hint="eastAsia" w:ascii="方正仿宋_GB2312" w:hAnsi="方正仿宋_GB2312" w:eastAsia="方正仿宋_GB2312" w:cs="方正仿宋_GB2312"/>
          <w:color w:val="auto"/>
          <w:sz w:val="32"/>
          <w:szCs w:val="32"/>
          <w:lang w:val="en-US" w:eastAsia="zh-CN"/>
        </w:rPr>
        <w:t>节水型生活用水器具</w:t>
      </w:r>
      <w:r>
        <w:rPr>
          <w:rFonts w:hint="eastAsia"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lang w:val="en-US" w:eastAsia="zh-CN"/>
        </w:rPr>
        <w:t>CJ/T 164</w:t>
      </w:r>
      <w:r>
        <w:rPr>
          <w:rFonts w:hint="eastAsia" w:cs="方正仿宋_GB2312"/>
          <w:color w:val="auto"/>
          <w:sz w:val="32"/>
          <w:szCs w:val="32"/>
          <w:lang w:val="en-US" w:eastAsia="zh-CN"/>
        </w:rPr>
        <w:t>）</w:t>
      </w:r>
    </w:p>
    <w:p w14:paraId="18C8F5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15.《</w:t>
      </w:r>
      <w:r>
        <w:rPr>
          <w:rFonts w:hint="eastAsia" w:ascii="方正仿宋_GB2312" w:hAnsi="方正仿宋_GB2312" w:eastAsia="方正仿宋_GB2312" w:cs="方正仿宋_GB2312"/>
          <w:color w:val="auto"/>
          <w:sz w:val="32"/>
          <w:szCs w:val="32"/>
          <w:lang w:val="en-US" w:eastAsia="zh-CN"/>
        </w:rPr>
        <w:t>发电厂和变电站照明设计技术规定</w:t>
      </w:r>
      <w:r>
        <w:rPr>
          <w:rFonts w:hint="eastAsia"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lang w:val="en-US" w:eastAsia="zh-CN"/>
        </w:rPr>
        <w:t>DL/T 5390</w:t>
      </w:r>
      <w:r>
        <w:rPr>
          <w:rFonts w:hint="eastAsia" w:cs="方正仿宋_GB2312"/>
          <w:color w:val="auto"/>
          <w:sz w:val="32"/>
          <w:szCs w:val="32"/>
          <w:lang w:val="en-US" w:eastAsia="zh-CN"/>
        </w:rPr>
        <w:t>）</w:t>
      </w:r>
    </w:p>
    <w:p w14:paraId="184C268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16.《</w:t>
      </w:r>
      <w:r>
        <w:rPr>
          <w:rFonts w:hint="eastAsia" w:ascii="方正仿宋_GB2312" w:hAnsi="方正仿宋_GB2312" w:eastAsia="方正仿宋_GB2312" w:cs="方正仿宋_GB2312"/>
          <w:color w:val="auto"/>
          <w:sz w:val="32"/>
          <w:szCs w:val="32"/>
          <w:lang w:val="en-US" w:eastAsia="zh-CN"/>
        </w:rPr>
        <w:t>电力建设工程监理规范</w:t>
      </w:r>
      <w:r>
        <w:rPr>
          <w:rFonts w:hint="eastAsia"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lang w:val="en-US" w:eastAsia="zh-CN"/>
        </w:rPr>
        <w:t>DL/T 5434</w:t>
      </w:r>
      <w:r>
        <w:rPr>
          <w:rFonts w:hint="eastAsia" w:cs="方正仿宋_GB2312"/>
          <w:color w:val="auto"/>
          <w:sz w:val="32"/>
          <w:szCs w:val="32"/>
          <w:lang w:val="en-US" w:eastAsia="zh-CN"/>
        </w:rPr>
        <w:t>）</w:t>
      </w:r>
    </w:p>
    <w:p w14:paraId="14A7933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s="方正仿宋_GB2312"/>
          <w:color w:val="auto"/>
          <w:sz w:val="32"/>
          <w:szCs w:val="32"/>
          <w:lang w:val="en-US" w:eastAsia="zh-CN"/>
        </w:rPr>
      </w:pPr>
      <w:r>
        <w:rPr>
          <w:rFonts w:hint="eastAsia" w:cs="方正仿宋_GB2312"/>
          <w:color w:val="auto"/>
          <w:sz w:val="32"/>
          <w:szCs w:val="32"/>
          <w:lang w:val="en-US" w:eastAsia="zh-CN"/>
        </w:rPr>
        <w:t>17.《</w:t>
      </w:r>
      <w:r>
        <w:rPr>
          <w:rFonts w:hint="eastAsia" w:ascii="方正仿宋_GB2312" w:hAnsi="方正仿宋_GB2312" w:eastAsia="方正仿宋_GB2312" w:cs="方正仿宋_GB2312"/>
          <w:color w:val="auto"/>
          <w:sz w:val="32"/>
          <w:szCs w:val="32"/>
          <w:lang w:val="en-US" w:eastAsia="zh-CN"/>
        </w:rPr>
        <w:t>电力建设工程绿色建造评价</w:t>
      </w:r>
      <w:r>
        <w:rPr>
          <w:rFonts w:hint="eastAsia"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lang w:val="en-US" w:eastAsia="zh-CN"/>
        </w:rPr>
        <w:t>T/CEPCA 1010</w:t>
      </w:r>
      <w:r>
        <w:rPr>
          <w:rFonts w:hint="eastAsia" w:cs="方正仿宋_GB2312"/>
          <w:color w:val="auto"/>
          <w:sz w:val="32"/>
          <w:szCs w:val="32"/>
          <w:lang w:val="en-US" w:eastAsia="zh-CN"/>
        </w:rPr>
        <w:t>）</w:t>
      </w:r>
    </w:p>
    <w:p w14:paraId="2AB6D9A9">
      <w:pPr>
        <w:pStyle w:val="2"/>
        <w:bidi w:val="0"/>
        <w:rPr>
          <w:rFonts w:hint="eastAsia"/>
          <w:color w:val="auto"/>
          <w:lang w:val="en-US" w:eastAsia="zh-CN"/>
        </w:rPr>
      </w:pPr>
      <w:r>
        <w:rPr>
          <w:rFonts w:hint="eastAsia"/>
          <w:color w:val="auto"/>
          <w:lang w:val="en-US" w:eastAsia="zh-CN"/>
        </w:rPr>
        <w:t>三、预期达到的效果</w:t>
      </w:r>
    </w:p>
    <w:p w14:paraId="0DD7A0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本标准发布实施后，将满足“双碳”目标、新型电力系统建设等行业发展转型趋势下，我国输变电工程</w:t>
      </w:r>
      <w:r>
        <w:rPr>
          <w:rFonts w:hint="eastAsia" w:cs="方正仿宋_GB2312"/>
          <w:color w:val="auto"/>
          <w:sz w:val="32"/>
          <w:szCs w:val="32"/>
          <w:lang w:val="en-US" w:eastAsia="zh-CN"/>
        </w:rPr>
        <w:t>绿色建造</w:t>
      </w:r>
      <w:r>
        <w:rPr>
          <w:rFonts w:hint="eastAsia" w:ascii="方正仿宋_GB2312" w:hAnsi="方正仿宋_GB2312" w:eastAsia="方正仿宋_GB2312" w:cs="方正仿宋_GB2312"/>
          <w:color w:val="auto"/>
          <w:sz w:val="32"/>
          <w:szCs w:val="32"/>
          <w:lang w:val="en-US" w:eastAsia="zh-CN"/>
        </w:rPr>
        <w:t>监理技术发展需求，推动建筑业绿色发展和转型升级，推广绿色建造方式的要求。</w:t>
      </w:r>
    </w:p>
    <w:p w14:paraId="0D35BA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本标准将明确输变电工程</w:t>
      </w:r>
      <w:r>
        <w:rPr>
          <w:rFonts w:hint="eastAsia" w:cs="方正仿宋_GB2312"/>
          <w:color w:val="auto"/>
          <w:sz w:val="32"/>
          <w:szCs w:val="32"/>
          <w:lang w:val="en-US" w:eastAsia="zh-CN"/>
        </w:rPr>
        <w:t>绿色建造</w:t>
      </w:r>
      <w:r>
        <w:rPr>
          <w:rFonts w:hint="eastAsia" w:ascii="方正仿宋_GB2312" w:hAnsi="方正仿宋_GB2312" w:eastAsia="方正仿宋_GB2312" w:cs="方正仿宋_GB2312"/>
          <w:color w:val="auto"/>
          <w:sz w:val="32"/>
          <w:szCs w:val="32"/>
          <w:lang w:val="en-US" w:eastAsia="zh-CN"/>
        </w:rPr>
        <w:t>监理工作的工作内容和管理要求，适用于新建、扩建、改建的输变电工程</w:t>
      </w:r>
      <w:r>
        <w:rPr>
          <w:rFonts w:hint="eastAsia" w:cs="方正仿宋_GB2312"/>
          <w:color w:val="auto"/>
          <w:sz w:val="32"/>
          <w:szCs w:val="32"/>
          <w:lang w:val="en-US" w:eastAsia="zh-CN"/>
        </w:rPr>
        <w:t>绿色建造</w:t>
      </w:r>
      <w:r>
        <w:rPr>
          <w:rFonts w:hint="eastAsia" w:ascii="方正仿宋_GB2312" w:hAnsi="方正仿宋_GB2312" w:eastAsia="方正仿宋_GB2312" w:cs="方正仿宋_GB2312"/>
          <w:color w:val="auto"/>
          <w:sz w:val="32"/>
          <w:szCs w:val="32"/>
          <w:lang w:val="en-US" w:eastAsia="zh-CN"/>
        </w:rPr>
        <w:t>监理服务。进一步明确输变电工程</w:t>
      </w:r>
      <w:r>
        <w:rPr>
          <w:rFonts w:hint="eastAsia" w:cs="方正仿宋_GB2312"/>
          <w:color w:val="auto"/>
          <w:sz w:val="32"/>
          <w:szCs w:val="32"/>
          <w:lang w:val="en-US" w:eastAsia="zh-CN"/>
        </w:rPr>
        <w:t>绿色建造</w:t>
      </w:r>
      <w:r>
        <w:rPr>
          <w:rFonts w:hint="eastAsia" w:ascii="方正仿宋_GB2312" w:hAnsi="方正仿宋_GB2312" w:eastAsia="方正仿宋_GB2312" w:cs="方正仿宋_GB2312"/>
          <w:color w:val="auto"/>
          <w:sz w:val="32"/>
          <w:szCs w:val="32"/>
          <w:lang w:val="en-US" w:eastAsia="zh-CN"/>
        </w:rPr>
        <w:t>监理工作内容和管理要求，为</w:t>
      </w:r>
      <w:r>
        <w:rPr>
          <w:rFonts w:hint="eastAsia" w:cs="方正仿宋_GB2312"/>
          <w:color w:val="auto"/>
          <w:sz w:val="32"/>
          <w:szCs w:val="32"/>
          <w:lang w:val="en-US" w:eastAsia="zh-CN"/>
        </w:rPr>
        <w:t>项目监理机构</w:t>
      </w:r>
      <w:r>
        <w:rPr>
          <w:rFonts w:hint="eastAsia" w:ascii="方正仿宋_GB2312" w:hAnsi="方正仿宋_GB2312" w:eastAsia="方正仿宋_GB2312" w:cs="方正仿宋_GB2312"/>
          <w:color w:val="auto"/>
          <w:sz w:val="32"/>
          <w:szCs w:val="32"/>
          <w:lang w:val="en-US" w:eastAsia="zh-CN"/>
        </w:rPr>
        <w:t>开展输变电工程</w:t>
      </w:r>
      <w:r>
        <w:rPr>
          <w:rFonts w:hint="eastAsia" w:cs="方正仿宋_GB2312"/>
          <w:color w:val="auto"/>
          <w:sz w:val="32"/>
          <w:szCs w:val="32"/>
          <w:lang w:val="en-US" w:eastAsia="zh-CN"/>
        </w:rPr>
        <w:t>绿色建造监理</w:t>
      </w:r>
      <w:r>
        <w:rPr>
          <w:rFonts w:hint="eastAsia" w:ascii="方正仿宋_GB2312" w:hAnsi="方正仿宋_GB2312" w:eastAsia="方正仿宋_GB2312" w:cs="方正仿宋_GB2312"/>
          <w:color w:val="auto"/>
          <w:sz w:val="32"/>
          <w:szCs w:val="32"/>
          <w:lang w:val="en-US" w:eastAsia="zh-CN"/>
        </w:rPr>
        <w:t>工作提供</w:t>
      </w:r>
      <w:r>
        <w:rPr>
          <w:rFonts w:hint="eastAsia" w:cs="方正仿宋_GB2312"/>
          <w:color w:val="auto"/>
          <w:sz w:val="32"/>
          <w:szCs w:val="32"/>
          <w:lang w:val="en-US" w:eastAsia="zh-CN"/>
        </w:rPr>
        <w:t>指引</w:t>
      </w:r>
      <w:r>
        <w:rPr>
          <w:rFonts w:hint="eastAsia" w:ascii="方正仿宋_GB2312" w:hAnsi="方正仿宋_GB2312" w:eastAsia="方正仿宋_GB2312" w:cs="方正仿宋_GB2312"/>
          <w:color w:val="auto"/>
          <w:sz w:val="32"/>
          <w:szCs w:val="32"/>
          <w:lang w:val="en-US" w:eastAsia="zh-CN"/>
        </w:rPr>
        <w:t>。</w:t>
      </w:r>
    </w:p>
    <w:p w14:paraId="012DC013">
      <w:pPr>
        <w:pStyle w:val="2"/>
        <w:bidi w:val="0"/>
        <w:rPr>
          <w:rFonts w:hint="eastAsia"/>
          <w:color w:val="auto"/>
          <w:lang w:val="en-US" w:eastAsia="zh-CN"/>
        </w:rPr>
      </w:pPr>
      <w:r>
        <w:rPr>
          <w:rFonts w:hint="eastAsia"/>
          <w:color w:val="auto"/>
          <w:lang w:val="en-US" w:eastAsia="zh-CN"/>
        </w:rPr>
        <w:t>四、与同类标准对比情况</w:t>
      </w:r>
    </w:p>
    <w:p w14:paraId="154F95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目前国内相关标准主要有《电力建设工程绿色建造评价》（T/CEPCA 1010）、《电力建设工程监理规范》（DL/T 5434-2021）等标准。</w:t>
      </w:r>
    </w:p>
    <w:p w14:paraId="4BF243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《电力建设工程监理规范》（DL/T 5434-2021）</w:t>
      </w:r>
      <w:r>
        <w:rPr>
          <w:rFonts w:hint="eastAsia" w:cs="方正仿宋_GB2312"/>
          <w:color w:val="auto"/>
          <w:sz w:val="32"/>
          <w:szCs w:val="32"/>
          <w:lang w:val="en-US" w:eastAsia="zh-CN"/>
        </w:rPr>
        <w:t>由国家能源局发布</w:t>
      </w:r>
      <w:r>
        <w:rPr>
          <w:rFonts w:hint="eastAsia" w:ascii="方正仿宋_GB2312" w:hAnsi="方正仿宋_GB2312" w:eastAsia="方正仿宋_GB2312" w:cs="方正仿宋_GB2312"/>
          <w:color w:val="auto"/>
          <w:sz w:val="32"/>
          <w:szCs w:val="32"/>
          <w:lang w:val="en-US" w:eastAsia="zh-CN"/>
        </w:rPr>
        <w:t>，涵盖了</w:t>
      </w:r>
      <w:r>
        <w:rPr>
          <w:rFonts w:hint="eastAsia" w:cs="方正仿宋_GB2312"/>
          <w:color w:val="auto"/>
          <w:sz w:val="32"/>
          <w:szCs w:val="32"/>
          <w:lang w:val="en-US" w:eastAsia="zh-CN"/>
        </w:rPr>
        <w:t>电力建设工程监理</w:t>
      </w:r>
      <w:r>
        <w:rPr>
          <w:rFonts w:hint="eastAsia" w:ascii="方正仿宋_GB2312" w:hAnsi="方正仿宋_GB2312" w:eastAsia="方正仿宋_GB2312" w:cs="方正仿宋_GB2312"/>
          <w:color w:val="auto"/>
          <w:sz w:val="32"/>
          <w:szCs w:val="32"/>
          <w:lang w:val="en-US" w:eastAsia="zh-CN"/>
        </w:rPr>
        <w:t>工作要求，未明确</w:t>
      </w:r>
      <w:r>
        <w:rPr>
          <w:rFonts w:hint="eastAsia" w:cs="方正仿宋_GB2312"/>
          <w:color w:val="auto"/>
          <w:sz w:val="32"/>
          <w:szCs w:val="32"/>
          <w:lang w:val="en-US" w:eastAsia="zh-CN"/>
        </w:rPr>
        <w:t>绿色建造过程中</w:t>
      </w:r>
      <w:r>
        <w:rPr>
          <w:rFonts w:hint="eastAsia" w:ascii="方正仿宋_GB2312" w:hAnsi="方正仿宋_GB2312" w:eastAsia="方正仿宋_GB2312" w:cs="方正仿宋_GB2312"/>
          <w:color w:val="auto"/>
          <w:sz w:val="32"/>
          <w:szCs w:val="32"/>
          <w:lang w:val="en-US" w:eastAsia="zh-CN"/>
        </w:rPr>
        <w:t>监理</w:t>
      </w:r>
      <w:r>
        <w:rPr>
          <w:rFonts w:hint="eastAsia" w:cs="方正仿宋_GB2312"/>
          <w:color w:val="auto"/>
          <w:sz w:val="32"/>
          <w:szCs w:val="32"/>
          <w:lang w:val="en-US" w:eastAsia="zh-CN"/>
        </w:rPr>
        <w:t>具体工作的</w:t>
      </w:r>
      <w:r>
        <w:rPr>
          <w:rFonts w:hint="eastAsia" w:ascii="方正仿宋_GB2312" w:hAnsi="方正仿宋_GB2312" w:eastAsia="方正仿宋_GB2312" w:cs="方正仿宋_GB2312"/>
          <w:color w:val="auto"/>
          <w:sz w:val="32"/>
          <w:szCs w:val="32"/>
          <w:lang w:val="en-US" w:eastAsia="zh-CN"/>
        </w:rPr>
        <w:t>内容和要求。《电力建设工程绿色建造评价》（T/CEPCA 1010）针对</w:t>
      </w:r>
      <w:r>
        <w:rPr>
          <w:rFonts w:hint="eastAsia" w:cs="方正仿宋_GB2312"/>
          <w:color w:val="auto"/>
          <w:sz w:val="32"/>
          <w:szCs w:val="32"/>
          <w:lang w:val="en-US" w:eastAsia="zh-CN"/>
        </w:rPr>
        <w:t>电力建设工程绿色建造全过程管理</w:t>
      </w:r>
      <w:r>
        <w:rPr>
          <w:rFonts w:hint="eastAsia" w:ascii="方正仿宋_GB2312" w:hAnsi="方正仿宋_GB2312" w:eastAsia="方正仿宋_GB2312" w:cs="方正仿宋_GB2312"/>
          <w:color w:val="auto"/>
          <w:sz w:val="32"/>
          <w:szCs w:val="32"/>
          <w:lang w:val="en-US" w:eastAsia="zh-CN"/>
        </w:rPr>
        <w:t>的专门规范，详细规定了电力建设工程绿色建造</w:t>
      </w:r>
      <w:r>
        <w:rPr>
          <w:rFonts w:hint="eastAsia" w:cs="方正仿宋_GB2312"/>
          <w:color w:val="auto"/>
          <w:sz w:val="32"/>
          <w:szCs w:val="32"/>
          <w:lang w:val="en-US" w:eastAsia="zh-CN"/>
        </w:rPr>
        <w:t>评价标准</w:t>
      </w:r>
      <w:r>
        <w:rPr>
          <w:rFonts w:hint="eastAsia" w:ascii="方正仿宋_GB2312" w:hAnsi="方正仿宋_GB2312" w:eastAsia="方正仿宋_GB2312" w:cs="方正仿宋_GB2312"/>
          <w:color w:val="auto"/>
          <w:sz w:val="32"/>
          <w:szCs w:val="32"/>
          <w:lang w:val="en-US" w:eastAsia="zh-CN"/>
        </w:rPr>
        <w:t>，未明确</w:t>
      </w:r>
      <w:r>
        <w:rPr>
          <w:rFonts w:hint="eastAsia" w:cs="方正仿宋_GB2312"/>
          <w:color w:val="auto"/>
          <w:sz w:val="32"/>
          <w:szCs w:val="32"/>
          <w:lang w:val="en-US" w:eastAsia="zh-CN"/>
        </w:rPr>
        <w:t>绿色建造过程中</w:t>
      </w:r>
      <w:r>
        <w:rPr>
          <w:rFonts w:hint="eastAsia" w:ascii="方正仿宋_GB2312" w:hAnsi="方正仿宋_GB2312" w:eastAsia="方正仿宋_GB2312" w:cs="方正仿宋_GB2312"/>
          <w:color w:val="auto"/>
          <w:sz w:val="32"/>
          <w:szCs w:val="32"/>
          <w:lang w:val="en-US" w:eastAsia="zh-CN"/>
        </w:rPr>
        <w:t>监理</w:t>
      </w:r>
      <w:r>
        <w:rPr>
          <w:rFonts w:hint="eastAsia" w:cs="方正仿宋_GB2312"/>
          <w:color w:val="auto"/>
          <w:sz w:val="32"/>
          <w:szCs w:val="32"/>
          <w:lang w:val="en-US" w:eastAsia="zh-CN"/>
        </w:rPr>
        <w:t>具体工作的</w:t>
      </w:r>
      <w:r>
        <w:rPr>
          <w:rFonts w:hint="eastAsia" w:ascii="方正仿宋_GB2312" w:hAnsi="方正仿宋_GB2312" w:eastAsia="方正仿宋_GB2312" w:cs="方正仿宋_GB2312"/>
          <w:color w:val="auto"/>
          <w:sz w:val="32"/>
          <w:szCs w:val="32"/>
          <w:lang w:val="en-US" w:eastAsia="zh-CN"/>
        </w:rPr>
        <w:t>内容和要求。</w:t>
      </w:r>
    </w:p>
    <w:p w14:paraId="228A41B9">
      <w:pPr>
        <w:pStyle w:val="2"/>
        <w:bidi w:val="0"/>
        <w:rPr>
          <w:rFonts w:hint="eastAsia"/>
          <w:color w:val="auto"/>
          <w:lang w:val="en-US" w:eastAsia="zh-CN"/>
        </w:rPr>
      </w:pPr>
      <w:r>
        <w:rPr>
          <w:rFonts w:hint="eastAsia"/>
          <w:color w:val="auto"/>
          <w:lang w:val="en-US" w:eastAsia="zh-CN"/>
        </w:rPr>
        <w:t>五、与现行法律、法规、政策及相关标准的协调性</w:t>
      </w:r>
    </w:p>
    <w:p w14:paraId="2B0E20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本标准编制过程中结合“双碳”目标、智能建造等最新形势和国内输变电工程</w:t>
      </w:r>
      <w:r>
        <w:rPr>
          <w:rFonts w:hint="eastAsia" w:cs="方正仿宋_GB2312"/>
          <w:color w:val="auto"/>
          <w:sz w:val="32"/>
          <w:szCs w:val="32"/>
          <w:lang w:val="en-US" w:eastAsia="zh-CN"/>
        </w:rPr>
        <w:t>绿色建造</w:t>
      </w:r>
      <w:r>
        <w:rPr>
          <w:rFonts w:hint="eastAsia" w:ascii="方正仿宋_GB2312" w:hAnsi="方正仿宋_GB2312" w:eastAsia="方正仿宋_GB2312" w:cs="方正仿宋_GB2312"/>
          <w:color w:val="auto"/>
          <w:sz w:val="32"/>
          <w:szCs w:val="32"/>
          <w:lang w:val="en-US" w:eastAsia="zh-CN"/>
        </w:rPr>
        <w:t>监理管理发展需求等内容，充分考虑了与国家现行有效法律法规之间的协调，所有技术条款均严格遵守国家法律法规和政策的要求。</w:t>
      </w:r>
    </w:p>
    <w:p w14:paraId="6E9694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执行过程中，除执行本标准的要求外，必须遵守国家现行法律、法规、政策及有关标准的规定。</w:t>
      </w:r>
    </w:p>
    <w:p w14:paraId="2C8E88BD">
      <w:pPr>
        <w:pStyle w:val="2"/>
        <w:bidi w:val="0"/>
        <w:rPr>
          <w:rFonts w:hint="eastAsia"/>
          <w:color w:val="auto"/>
          <w:lang w:val="en-US" w:eastAsia="zh-CN"/>
        </w:rPr>
      </w:pPr>
      <w:r>
        <w:rPr>
          <w:rFonts w:hint="eastAsia"/>
          <w:color w:val="auto"/>
          <w:lang w:val="en-US" w:eastAsia="zh-CN"/>
        </w:rPr>
        <w:t>六、重大分歧意见的处理经过和依据</w:t>
      </w:r>
    </w:p>
    <w:p w14:paraId="3926AC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本标准编制过程中，各参编单位及行业专家围绕</w:t>
      </w:r>
      <w:r>
        <w:rPr>
          <w:rFonts w:hint="eastAsia" w:cs="方正仿宋_GB2312"/>
          <w:color w:val="auto"/>
          <w:sz w:val="32"/>
          <w:szCs w:val="32"/>
          <w:lang w:val="en-US" w:eastAsia="zh-CN"/>
        </w:rPr>
        <w:t>输变电工程中绿色建造监理</w:t>
      </w:r>
      <w:r>
        <w:rPr>
          <w:rFonts w:hint="eastAsia" w:ascii="方正仿宋_GB2312" w:hAnsi="方正仿宋_GB2312" w:eastAsia="方正仿宋_GB2312" w:cs="方正仿宋_GB2312"/>
          <w:color w:val="auto"/>
          <w:sz w:val="32"/>
          <w:szCs w:val="32"/>
          <w:lang w:val="en-US" w:eastAsia="zh-CN"/>
        </w:rPr>
        <w:t>的</w:t>
      </w:r>
      <w:r>
        <w:rPr>
          <w:rFonts w:hint="eastAsia" w:cs="方正仿宋_GB2312"/>
          <w:color w:val="auto"/>
          <w:sz w:val="32"/>
          <w:szCs w:val="32"/>
          <w:lang w:val="en-US" w:eastAsia="zh-CN"/>
        </w:rPr>
        <w:t>监理流程</w:t>
      </w:r>
      <w:r>
        <w:rPr>
          <w:rFonts w:hint="eastAsia" w:ascii="方正仿宋_GB2312" w:hAnsi="方正仿宋_GB2312" w:eastAsia="方正仿宋_GB2312" w:cs="方正仿宋_GB2312"/>
          <w:color w:val="auto"/>
          <w:sz w:val="32"/>
          <w:szCs w:val="32"/>
          <w:lang w:val="en-US" w:eastAsia="zh-CN"/>
        </w:rPr>
        <w:t>及技术要求等关键问题进行了充分讨论，未出现重大分歧意见。</w:t>
      </w:r>
    </w:p>
    <w:p w14:paraId="20B8F8D8">
      <w:pPr>
        <w:pStyle w:val="2"/>
        <w:bidi w:val="0"/>
        <w:rPr>
          <w:rFonts w:hint="eastAsia"/>
          <w:color w:val="auto"/>
          <w:lang w:val="en-US" w:eastAsia="zh-CN"/>
        </w:rPr>
      </w:pPr>
      <w:r>
        <w:rPr>
          <w:rFonts w:hint="eastAsia"/>
          <w:color w:val="auto"/>
          <w:lang w:val="en-US" w:eastAsia="zh-CN"/>
        </w:rPr>
        <w:t>七、标准涉及专利处置情况</w:t>
      </w:r>
    </w:p>
    <w:p w14:paraId="17052D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本标准编制过程中，编制工作组对标准内容涉及的专利进行了全面排查与识别。经核查，本标准的技术内容不涉及任何专利，不存在专利侵权风险。本标准的发布机构不承担识别专利的责任。</w:t>
      </w:r>
    </w:p>
    <w:p w14:paraId="403DDAB7">
      <w:pPr>
        <w:pStyle w:val="2"/>
        <w:bidi w:val="0"/>
        <w:rPr>
          <w:rFonts w:hint="eastAsia"/>
          <w:color w:val="auto"/>
          <w:lang w:val="en-US" w:eastAsia="zh-CN"/>
        </w:rPr>
      </w:pPr>
      <w:r>
        <w:rPr>
          <w:rFonts w:hint="eastAsia"/>
          <w:color w:val="auto"/>
          <w:lang w:val="en-US" w:eastAsia="zh-CN"/>
        </w:rPr>
        <w:t>八、贯彻规范的要求和措施建议</w:t>
      </w:r>
    </w:p>
    <w:p w14:paraId="330E2E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本标准适用于新建、扩建、改建的输变电工程</w:t>
      </w:r>
      <w:r>
        <w:rPr>
          <w:rFonts w:hint="eastAsia" w:cs="方正仿宋_GB2312"/>
          <w:color w:val="auto"/>
          <w:sz w:val="32"/>
          <w:szCs w:val="32"/>
          <w:lang w:val="en-US" w:eastAsia="zh-CN"/>
        </w:rPr>
        <w:t>绿色建造</w:t>
      </w:r>
      <w:r>
        <w:rPr>
          <w:rFonts w:hint="eastAsia" w:ascii="方正仿宋_GB2312" w:hAnsi="方正仿宋_GB2312" w:eastAsia="方正仿宋_GB2312" w:cs="方正仿宋_GB2312"/>
          <w:color w:val="auto"/>
          <w:sz w:val="32"/>
          <w:szCs w:val="32"/>
          <w:lang w:val="en-US" w:eastAsia="zh-CN"/>
        </w:rPr>
        <w:t>监理服务。</w:t>
      </w:r>
    </w:p>
    <w:p w14:paraId="26D34AA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本标准的制定和应用能够为</w:t>
      </w:r>
      <w:r>
        <w:rPr>
          <w:rFonts w:hint="eastAsia" w:cs="方正仿宋_GB2312"/>
          <w:color w:val="auto"/>
          <w:sz w:val="32"/>
          <w:szCs w:val="32"/>
          <w:lang w:val="en-US" w:eastAsia="zh-CN"/>
        </w:rPr>
        <w:t>项目监理机构</w:t>
      </w:r>
      <w:r>
        <w:rPr>
          <w:rFonts w:hint="eastAsia" w:ascii="方正仿宋_GB2312" w:hAnsi="方正仿宋_GB2312" w:eastAsia="方正仿宋_GB2312" w:cs="方正仿宋_GB2312"/>
          <w:color w:val="auto"/>
          <w:sz w:val="32"/>
          <w:szCs w:val="32"/>
          <w:lang w:val="en-US" w:eastAsia="zh-CN"/>
        </w:rPr>
        <w:t>开展输变电工程</w:t>
      </w:r>
      <w:r>
        <w:rPr>
          <w:rFonts w:hint="eastAsia" w:cs="方正仿宋_GB2312"/>
          <w:color w:val="auto"/>
          <w:sz w:val="32"/>
          <w:szCs w:val="32"/>
          <w:lang w:val="en-US" w:eastAsia="zh-CN"/>
        </w:rPr>
        <w:t>绿色建造</w:t>
      </w:r>
      <w:r>
        <w:rPr>
          <w:rFonts w:hint="eastAsia" w:ascii="方正仿宋_GB2312" w:hAnsi="方正仿宋_GB2312" w:eastAsia="方正仿宋_GB2312" w:cs="方正仿宋_GB2312"/>
          <w:color w:val="auto"/>
          <w:sz w:val="32"/>
          <w:szCs w:val="32"/>
          <w:lang w:val="en-US" w:eastAsia="zh-CN"/>
        </w:rPr>
        <w:t>监理服务提供工作</w:t>
      </w:r>
      <w:r>
        <w:rPr>
          <w:rFonts w:hint="eastAsia" w:cs="方正仿宋_GB2312"/>
          <w:color w:val="auto"/>
          <w:sz w:val="32"/>
          <w:szCs w:val="32"/>
          <w:lang w:val="en-US" w:eastAsia="zh-CN"/>
        </w:rPr>
        <w:t>指引</w:t>
      </w:r>
      <w:r>
        <w:rPr>
          <w:rFonts w:hint="eastAsia" w:ascii="方正仿宋_GB2312" w:hAnsi="方正仿宋_GB2312" w:eastAsia="方正仿宋_GB2312" w:cs="方正仿宋_GB2312"/>
          <w:color w:val="auto"/>
          <w:sz w:val="32"/>
          <w:szCs w:val="32"/>
          <w:lang w:val="en-US" w:eastAsia="zh-CN"/>
        </w:rPr>
        <w:t>，进一步明确输变电工程</w:t>
      </w:r>
      <w:r>
        <w:rPr>
          <w:rFonts w:hint="eastAsia" w:cs="方正仿宋_GB2312"/>
          <w:color w:val="auto"/>
          <w:sz w:val="32"/>
          <w:szCs w:val="32"/>
          <w:lang w:val="en-US" w:eastAsia="zh-CN"/>
        </w:rPr>
        <w:t>绿色建造</w:t>
      </w:r>
      <w:r>
        <w:rPr>
          <w:rFonts w:hint="eastAsia" w:ascii="方正仿宋_GB2312" w:hAnsi="方正仿宋_GB2312" w:eastAsia="方正仿宋_GB2312" w:cs="方正仿宋_GB2312"/>
          <w:color w:val="auto"/>
          <w:sz w:val="32"/>
          <w:szCs w:val="32"/>
          <w:lang w:val="en-US" w:eastAsia="zh-CN"/>
        </w:rPr>
        <w:t>监理工作内容和管理要求，建议能够尽快批准发布本标准，并通过组织集中宣讲会等形式进一步贯彻标准要求。</w:t>
      </w:r>
    </w:p>
    <w:p w14:paraId="64F64A1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本标准不设立强制性条文。</w:t>
      </w:r>
    </w:p>
    <w:p w14:paraId="10418CFA">
      <w:pPr>
        <w:pStyle w:val="2"/>
        <w:bidi w:val="0"/>
        <w:rPr>
          <w:rFonts w:hint="eastAsia"/>
          <w:color w:val="auto"/>
          <w:lang w:val="en-US" w:eastAsia="zh-CN"/>
        </w:rPr>
      </w:pPr>
      <w:r>
        <w:rPr>
          <w:rFonts w:hint="eastAsia"/>
          <w:color w:val="auto"/>
          <w:lang w:val="en-US" w:eastAsia="zh-CN"/>
        </w:rPr>
        <w:t>九、代替或废止现行有关标准的建议</w:t>
      </w:r>
    </w:p>
    <w:p w14:paraId="6F5B6C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本标准不涉及代替或废止现行有关标准的情况。</w:t>
      </w:r>
    </w:p>
    <w:p w14:paraId="0566CBAE">
      <w:pPr>
        <w:pStyle w:val="2"/>
        <w:bidi w:val="0"/>
        <w:rPr>
          <w:rFonts w:hint="eastAsia"/>
          <w:color w:val="auto"/>
          <w:lang w:val="en-US" w:eastAsia="zh-CN"/>
        </w:rPr>
      </w:pPr>
      <w:r>
        <w:rPr>
          <w:rFonts w:hint="eastAsia"/>
          <w:color w:val="auto"/>
          <w:lang w:val="en-US" w:eastAsia="zh-CN"/>
        </w:rPr>
        <w:t>十、其他应予说明的事项</w:t>
      </w:r>
    </w:p>
    <w:p w14:paraId="6E141B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方正仿宋_GB2312" w:hAnsi="方正仿宋_GB2312" w:eastAsia="方正仿宋_GB2312" w:cs="方正仿宋_GB2312"/>
          <w:color w:val="auto"/>
          <w:sz w:val="32"/>
          <w:szCs w:val="32"/>
          <w:lang w:val="en-US" w:eastAsia="zh-CN"/>
        </w:rPr>
      </w:pPr>
      <w:r>
        <w:rPr>
          <w:rFonts w:hint="eastAsia" w:cs="方正仿宋_GB2312"/>
          <w:color w:val="auto"/>
          <w:sz w:val="32"/>
          <w:szCs w:val="32"/>
          <w:lang w:val="en-US" w:eastAsia="zh-CN"/>
        </w:rPr>
        <w:t>本标准属于2025年第一批立项的中国电力建设企业协会标准。</w:t>
      </w:r>
    </w:p>
    <w:p w14:paraId="6B67CD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B9BD84-ED4A-4ECA-A506-1A80978B54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03533509-DCAA-436C-A175-A6E46E7D1E56}"/>
  </w:font>
  <w:font w:name="方正楷体_GB2312">
    <w:panose1 w:val="02000000000000000000"/>
    <w:charset w:val="86"/>
    <w:family w:val="auto"/>
    <w:pitch w:val="default"/>
    <w:sig w:usb0="A00002BF" w:usb1="184F6CFA" w:usb2="00000012" w:usb3="00000000" w:csb0="00040001" w:csb1="00000000"/>
    <w:embedRegular r:id="rId3" w:fontKey="{8636CE34-47AB-4343-86D7-D212C343EF5A}"/>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embedRegular r:id="rId4" w:fontKey="{5131E358-F830-4B9C-97FA-0E40B016F214}"/>
  </w:font>
  <w:font w:name="WPSEMBED13">
    <w:panose1 w:val="02000000000000000000"/>
    <w:charset w:val="86"/>
    <w:family w:val="auto"/>
    <w:pitch w:val="default"/>
    <w:sig w:usb0="A00002BF" w:usb1="184F6CFA" w:usb2="00000012" w:usb3="00000000" w:csb0="00040001" w:csb1="00000000"/>
  </w:font>
  <w:font w:name="WPSEMBED14">
    <w:panose1 w:val="02000000000000000000"/>
    <w:charset w:val="86"/>
    <w:family w:val="auto"/>
    <w:pitch w:val="default"/>
    <w:sig w:usb0="A00002BF" w:usb1="184F6CFA"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F5992"/>
    <w:rsid w:val="00DD1B59"/>
    <w:rsid w:val="02820677"/>
    <w:rsid w:val="02D943F5"/>
    <w:rsid w:val="037E6D6A"/>
    <w:rsid w:val="048168F2"/>
    <w:rsid w:val="05FE0636"/>
    <w:rsid w:val="063E10CA"/>
    <w:rsid w:val="069B6FAD"/>
    <w:rsid w:val="06D82577"/>
    <w:rsid w:val="06FC4B75"/>
    <w:rsid w:val="087968CB"/>
    <w:rsid w:val="08935065"/>
    <w:rsid w:val="0902043D"/>
    <w:rsid w:val="0A36039E"/>
    <w:rsid w:val="0A764C3F"/>
    <w:rsid w:val="0AA51080"/>
    <w:rsid w:val="0B3F14D4"/>
    <w:rsid w:val="0B9A4660"/>
    <w:rsid w:val="0C31457C"/>
    <w:rsid w:val="0C5622EC"/>
    <w:rsid w:val="0CBB2DDD"/>
    <w:rsid w:val="0D9F44AC"/>
    <w:rsid w:val="0DB066B9"/>
    <w:rsid w:val="0DD231F6"/>
    <w:rsid w:val="0DD621C2"/>
    <w:rsid w:val="0F286A98"/>
    <w:rsid w:val="0F7502F7"/>
    <w:rsid w:val="0FB70715"/>
    <w:rsid w:val="103435D2"/>
    <w:rsid w:val="115E770B"/>
    <w:rsid w:val="11734EB3"/>
    <w:rsid w:val="125F420A"/>
    <w:rsid w:val="13C62793"/>
    <w:rsid w:val="15242859"/>
    <w:rsid w:val="1647132C"/>
    <w:rsid w:val="170F5DE2"/>
    <w:rsid w:val="171E0627"/>
    <w:rsid w:val="19CE0BFB"/>
    <w:rsid w:val="19F2702B"/>
    <w:rsid w:val="1A1B2865"/>
    <w:rsid w:val="1A1D50D7"/>
    <w:rsid w:val="1A8E5934"/>
    <w:rsid w:val="1A9B7FF4"/>
    <w:rsid w:val="1B102A82"/>
    <w:rsid w:val="1B666902"/>
    <w:rsid w:val="1BC32589"/>
    <w:rsid w:val="1C153A84"/>
    <w:rsid w:val="1C6C40F3"/>
    <w:rsid w:val="1C6E5739"/>
    <w:rsid w:val="1CA20C86"/>
    <w:rsid w:val="1DCF66E8"/>
    <w:rsid w:val="1E841AAE"/>
    <w:rsid w:val="1EFF33B3"/>
    <w:rsid w:val="1F552C1D"/>
    <w:rsid w:val="1F953961"/>
    <w:rsid w:val="1F9E5C79"/>
    <w:rsid w:val="214B7F32"/>
    <w:rsid w:val="21C30312"/>
    <w:rsid w:val="21ED5F41"/>
    <w:rsid w:val="225C5E38"/>
    <w:rsid w:val="226854AB"/>
    <w:rsid w:val="22C56E4D"/>
    <w:rsid w:val="22CC0F2A"/>
    <w:rsid w:val="23AB72AF"/>
    <w:rsid w:val="23D902C0"/>
    <w:rsid w:val="23EA7073"/>
    <w:rsid w:val="243E6C80"/>
    <w:rsid w:val="24F14A06"/>
    <w:rsid w:val="260C0C79"/>
    <w:rsid w:val="2627475A"/>
    <w:rsid w:val="26946721"/>
    <w:rsid w:val="269D0D41"/>
    <w:rsid w:val="26ED5E31"/>
    <w:rsid w:val="27012C20"/>
    <w:rsid w:val="27797768"/>
    <w:rsid w:val="282F6B87"/>
    <w:rsid w:val="28846321"/>
    <w:rsid w:val="289E09B6"/>
    <w:rsid w:val="28C857D7"/>
    <w:rsid w:val="2C3B553A"/>
    <w:rsid w:val="2DCB0CEE"/>
    <w:rsid w:val="2E860AE1"/>
    <w:rsid w:val="2F2A6B9A"/>
    <w:rsid w:val="2F394965"/>
    <w:rsid w:val="2F8D2672"/>
    <w:rsid w:val="2FBC45F2"/>
    <w:rsid w:val="303643A5"/>
    <w:rsid w:val="30442B2B"/>
    <w:rsid w:val="30501DCE"/>
    <w:rsid w:val="30CC6AB7"/>
    <w:rsid w:val="31B303D7"/>
    <w:rsid w:val="3212671B"/>
    <w:rsid w:val="32475EF5"/>
    <w:rsid w:val="32723CA0"/>
    <w:rsid w:val="330873F6"/>
    <w:rsid w:val="34086058"/>
    <w:rsid w:val="347A49E7"/>
    <w:rsid w:val="348210E4"/>
    <w:rsid w:val="35243365"/>
    <w:rsid w:val="35AB75E3"/>
    <w:rsid w:val="37DF1ED5"/>
    <w:rsid w:val="39205BF2"/>
    <w:rsid w:val="396B7580"/>
    <w:rsid w:val="3BAB20EB"/>
    <w:rsid w:val="3DAA47C2"/>
    <w:rsid w:val="3E6F1080"/>
    <w:rsid w:val="3FF27B1B"/>
    <w:rsid w:val="40BB2DD0"/>
    <w:rsid w:val="40DC28F6"/>
    <w:rsid w:val="40ED4F53"/>
    <w:rsid w:val="4163262A"/>
    <w:rsid w:val="41A970CC"/>
    <w:rsid w:val="41AB622D"/>
    <w:rsid w:val="438A2C07"/>
    <w:rsid w:val="43DF14EC"/>
    <w:rsid w:val="44185E43"/>
    <w:rsid w:val="445706E7"/>
    <w:rsid w:val="44CC46BA"/>
    <w:rsid w:val="455410FD"/>
    <w:rsid w:val="4604625A"/>
    <w:rsid w:val="4800556C"/>
    <w:rsid w:val="48AB197C"/>
    <w:rsid w:val="4939330C"/>
    <w:rsid w:val="4A037596"/>
    <w:rsid w:val="4A5C0EF6"/>
    <w:rsid w:val="4AD91141"/>
    <w:rsid w:val="4AE42FA4"/>
    <w:rsid w:val="4AEE68E5"/>
    <w:rsid w:val="4B2B1F6E"/>
    <w:rsid w:val="4B3E5B32"/>
    <w:rsid w:val="4BA803F5"/>
    <w:rsid w:val="4C9C7F6E"/>
    <w:rsid w:val="4D077EEE"/>
    <w:rsid w:val="4D697710"/>
    <w:rsid w:val="4DF17174"/>
    <w:rsid w:val="4E9B1A66"/>
    <w:rsid w:val="4EAD7325"/>
    <w:rsid w:val="4ECF719D"/>
    <w:rsid w:val="4F310701"/>
    <w:rsid w:val="4FB6452A"/>
    <w:rsid w:val="505422F6"/>
    <w:rsid w:val="510D7150"/>
    <w:rsid w:val="51844B18"/>
    <w:rsid w:val="518D575B"/>
    <w:rsid w:val="51C8027F"/>
    <w:rsid w:val="53121757"/>
    <w:rsid w:val="54EF1AF7"/>
    <w:rsid w:val="552E6C6F"/>
    <w:rsid w:val="55344AA7"/>
    <w:rsid w:val="553F3458"/>
    <w:rsid w:val="55627A6C"/>
    <w:rsid w:val="55DD744A"/>
    <w:rsid w:val="566C5C56"/>
    <w:rsid w:val="56933A4F"/>
    <w:rsid w:val="56C70767"/>
    <w:rsid w:val="574134AB"/>
    <w:rsid w:val="58782146"/>
    <w:rsid w:val="58A551BE"/>
    <w:rsid w:val="58B76487"/>
    <w:rsid w:val="58E42340"/>
    <w:rsid w:val="58FA26BF"/>
    <w:rsid w:val="597F7449"/>
    <w:rsid w:val="5A405337"/>
    <w:rsid w:val="5B413A7A"/>
    <w:rsid w:val="5BB47FEA"/>
    <w:rsid w:val="5C700ABB"/>
    <w:rsid w:val="5C9B365E"/>
    <w:rsid w:val="5D0F6CD8"/>
    <w:rsid w:val="5D443CF5"/>
    <w:rsid w:val="5F093BB3"/>
    <w:rsid w:val="5F6612AE"/>
    <w:rsid w:val="60636240"/>
    <w:rsid w:val="60817B83"/>
    <w:rsid w:val="608A728B"/>
    <w:rsid w:val="61243D85"/>
    <w:rsid w:val="644D7933"/>
    <w:rsid w:val="644E148D"/>
    <w:rsid w:val="645A75B0"/>
    <w:rsid w:val="64F20990"/>
    <w:rsid w:val="66C0263F"/>
    <w:rsid w:val="675D7CA3"/>
    <w:rsid w:val="677376B1"/>
    <w:rsid w:val="67FC76A6"/>
    <w:rsid w:val="685549B8"/>
    <w:rsid w:val="694C01BA"/>
    <w:rsid w:val="69F55690"/>
    <w:rsid w:val="6A042842"/>
    <w:rsid w:val="6ACD532A"/>
    <w:rsid w:val="6B3C09F9"/>
    <w:rsid w:val="6B897E5C"/>
    <w:rsid w:val="6C6B4DFB"/>
    <w:rsid w:val="6D2A3F4E"/>
    <w:rsid w:val="6E00540C"/>
    <w:rsid w:val="6F323B40"/>
    <w:rsid w:val="704B11CB"/>
    <w:rsid w:val="705169D2"/>
    <w:rsid w:val="70D2369A"/>
    <w:rsid w:val="71C8684B"/>
    <w:rsid w:val="727137F6"/>
    <w:rsid w:val="73CB1CB0"/>
    <w:rsid w:val="74D06143"/>
    <w:rsid w:val="74DB67BF"/>
    <w:rsid w:val="76C70D40"/>
    <w:rsid w:val="786651CD"/>
    <w:rsid w:val="787C7F86"/>
    <w:rsid w:val="78813F08"/>
    <w:rsid w:val="78FE7F71"/>
    <w:rsid w:val="7A094951"/>
    <w:rsid w:val="7AB91427"/>
    <w:rsid w:val="7AED2E7F"/>
    <w:rsid w:val="7B0030E1"/>
    <w:rsid w:val="7B0F4A69"/>
    <w:rsid w:val="7BA274B4"/>
    <w:rsid w:val="7BD736ED"/>
    <w:rsid w:val="7D0E6EA2"/>
    <w:rsid w:val="7E7C1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pPr>
    <w:rPr>
      <w:rFonts w:ascii="方正仿宋_GB2312" w:hAnsi="方正仿宋_GB2312" w:eastAsia="方正仿宋_GB2312" w:cs="方正仿宋_GB2312"/>
      <w:kern w:val="2"/>
      <w:sz w:val="32"/>
      <w:szCs w:val="32"/>
      <w:lang w:val="en-US" w:eastAsia="zh-CN" w:bidi="ar-SA"/>
    </w:rPr>
  </w:style>
  <w:style w:type="paragraph" w:styleId="2">
    <w:name w:val="heading 1"/>
    <w:basedOn w:val="1"/>
    <w:next w:val="1"/>
    <w:qFormat/>
    <w:uiPriority w:val="0"/>
    <w:pPr>
      <w:ind w:firstLine="0" w:firstLineChars="0"/>
      <w:outlineLvl w:val="0"/>
    </w:pPr>
    <w:rPr>
      <w:rFonts w:ascii="黑体" w:hAnsi="黑体" w:eastAsia="黑体" w:cs="黑体"/>
    </w:rPr>
  </w:style>
  <w:style w:type="paragraph" w:styleId="3">
    <w:name w:val="heading 2"/>
    <w:basedOn w:val="1"/>
    <w:next w:val="1"/>
    <w:unhideWhenUsed/>
    <w:qFormat/>
    <w:uiPriority w:val="0"/>
    <w:pPr>
      <w:outlineLvl w:val="1"/>
    </w:pPr>
    <w:rPr>
      <w:rFonts w:ascii="方正楷体_GB2312" w:hAnsi="方正楷体_GB2312" w:eastAsia="方正楷体_GB2312" w:cs="方正楷体_GB231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5"/>
    <w:next w:val="6"/>
    <w:qFormat/>
    <w:uiPriority w:val="0"/>
    <w:pPr>
      <w:adjustRightInd w:val="0"/>
      <w:spacing w:after="120" w:line="560" w:lineRule="exact"/>
      <w:textAlignment w:val="baseline"/>
    </w:pPr>
    <w:rPr>
      <w:rFonts w:ascii="Times New Roman" w:hAnsi="Times New Roman" w:eastAsia="方正仿宋_GB2312"/>
      <w:kern w:val="0"/>
      <w:sz w:val="30"/>
      <w:szCs w:val="20"/>
    </w:rPr>
  </w:style>
  <w:style w:type="paragraph" w:customStyle="1" w:styleId="5">
    <w:name w:val="正文_0"/>
    <w:next w:val="4"/>
    <w:qFormat/>
    <w:uiPriority w:val="0"/>
    <w:pPr>
      <w:widowControl w:val="0"/>
      <w:jc w:val="both"/>
    </w:pPr>
    <w:rPr>
      <w:rFonts w:ascii="方正仿宋_GB2312" w:hAnsi="方正仿宋_GB2312" w:eastAsia="方正仿宋_GB2312" w:cs="方正仿宋_GB2312"/>
      <w:kern w:val="2"/>
      <w:sz w:val="32"/>
      <w:szCs w:val="32"/>
      <w:lang w:val="en-US" w:eastAsia="zh-CN" w:bidi="ar-SA"/>
    </w:rPr>
  </w:style>
  <w:style w:type="paragraph" w:styleId="6">
    <w:name w:val="Title"/>
    <w:basedOn w:val="5"/>
    <w:next w:val="1"/>
    <w:qFormat/>
    <w:uiPriority w:val="0"/>
    <w:pPr>
      <w:spacing w:before="240" w:after="60"/>
      <w:jc w:val="center"/>
      <w:outlineLvl w:val="0"/>
    </w:pPr>
    <w:rPr>
      <w:rFonts w:ascii="Cambria" w:hAnsi="Cambria" w:eastAsia="宋体" w:cs="Times New Roman"/>
      <w:b/>
      <w:bCs/>
      <w:kern w:val="0"/>
      <w:sz w:val="32"/>
      <w:szCs w:val="32"/>
    </w:rPr>
  </w:style>
  <w:style w:type="paragraph" w:styleId="7">
    <w:name w:val="toc 1"/>
    <w:basedOn w:val="1"/>
    <w:next w:val="1"/>
    <w:qFormat/>
    <w:uiPriority w:val="0"/>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4293</Words>
  <Characters>4566</Characters>
  <Lines>0</Lines>
  <Paragraphs>0</Paragraphs>
  <TotalTime>0</TotalTime>
  <ScaleCrop>false</ScaleCrop>
  <LinksUpToDate>false</LinksUpToDate>
  <CharactersWithSpaces>4596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2025-09-04T12:52:00Z</dcterms:created>
  <dc:creator>Administrator</dc:creator>
  <cp:lastModifiedBy>王嵩</cp:lastModifiedBy>
  <cp:lastPrinted>2026-03-17T07:27:00Z</cp:lastPrinted>
  <dcterms:modified xsi:type="dcterms:W3CDTF">2026-04-03T03:34:02Z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eyJoZGlkIjoiNDYyNGFiOWVjNmUyNDJkMjQ4ZjU3YWM4YTY1MmJjYzMiLCJ1c2VySWQiOiIxNTgwMzA1OTc1In0=</vt:lpwstr>
  </property>
  <property fmtid="{D5CDD505-2E9C-101B-9397-08002B2CF9AE}" pid="4" name="ICV">
    <vt:lpwstr>3F5E0132D5D14F82B01360D2063144E1_13</vt:lpwstr>
  </property>
</Properties>
</file>